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085F98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66D0B">
        <w:rPr>
          <w:rFonts w:ascii="Times New Roman" w:hAnsi="Times New Roman" w:cs="Times New Roman"/>
          <w:sz w:val="24"/>
          <w:szCs w:val="24"/>
        </w:rPr>
        <w:t>024-02/22-02/29</w:t>
      </w:r>
    </w:p>
    <w:p w14:paraId="021C2E2D" w14:textId="7F5CCB0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66D0B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1155BD4" w:rsidR="008D44E6" w:rsidRPr="005C2934" w:rsidRDefault="008D44E6" w:rsidP="00FC7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66D0B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FC7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EE186" w14:textId="312CABBC" w:rsidR="00FC7612" w:rsidRDefault="00FC7612" w:rsidP="00FC7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temelju članaka 27. i 35. Zakona o lokalnoj i područnoj (regionalnoj) samoupravi (</w:t>
      </w:r>
      <w:r>
        <w:rPr>
          <w:rFonts w:ascii="Times New Roman" w:hAnsi="Times New Roman" w:cs="Times New Roman"/>
          <w:sz w:val="24"/>
          <w:szCs w:val="24"/>
        </w:rPr>
        <w:t>Narodne novine br. 33/01, 60/01.-</w:t>
      </w:r>
      <w:r>
        <w:rPr>
          <w:rFonts w:ascii="Times New Roman" w:hAnsi="Times New Roman" w:cs="Times New Roman"/>
          <w:i/>
          <w:sz w:val="24"/>
          <w:szCs w:val="24"/>
        </w:rPr>
        <w:t>vjerodostojno tumačenje</w:t>
      </w:r>
      <w:r>
        <w:rPr>
          <w:rFonts w:ascii="Times New Roman" w:hAnsi="Times New Roman" w:cs="Times New Roman"/>
          <w:sz w:val="24"/>
          <w:szCs w:val="24"/>
        </w:rPr>
        <w:t>, 129/05, 109/07, 125/08, 36/09, 150/11, 144/12, 19/13, 137/15-</w:t>
      </w:r>
      <w:r>
        <w:rPr>
          <w:rFonts w:ascii="Times New Roman" w:hAnsi="Times New Roman" w:cs="Times New Roman"/>
          <w:i/>
          <w:iCs/>
          <w:sz w:val="24"/>
          <w:szCs w:val="24"/>
        </w:rPr>
        <w:t>ispravak</w:t>
      </w:r>
      <w:r>
        <w:rPr>
          <w:rFonts w:ascii="Times New Roman" w:hAnsi="Times New Roman" w:cs="Times New Roman"/>
          <w:sz w:val="24"/>
          <w:szCs w:val="24"/>
        </w:rPr>
        <w:t>, 123/17, 98/19, 144/20</w:t>
      </w:r>
      <w:r>
        <w:rPr>
          <w:rFonts w:ascii="Times New Roman" w:hAnsi="Times New Roman" w:cs="Times New Roman"/>
          <w:bCs/>
          <w:sz w:val="24"/>
          <w:szCs w:val="24"/>
        </w:rPr>
        <w:t>), članka 32.</w:t>
      </w:r>
      <w:bookmarkStart w:id="0" w:name="_Hlk83290294"/>
      <w:r>
        <w:rPr>
          <w:rFonts w:ascii="Times New Roman" w:hAnsi="Times New Roman" w:cs="Times New Roman"/>
          <w:bCs/>
          <w:sz w:val="24"/>
          <w:szCs w:val="24"/>
        </w:rPr>
        <w:t xml:space="preserve"> Statuta Općine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Bebrina („Službeni vjesnik Brodsko-posavske županije“ broj 2/2018, 18/2019 i 24/2019 i „Glasnik Općine Bebrina“ broj 1/2019, 2/2020 i 4/2021), točke 2.3. Smjernica za uspostavu urbanih područja i izradu strategija razvoja urbanih područja za financijsko razdoblje 2021.-2027., Općinsko vijeće Općine Bebrina na 8. sjednici, održanoj dana </w:t>
      </w:r>
      <w:r>
        <w:rPr>
          <w:rFonts w:ascii="Times New Roman" w:hAnsi="Times New Roman" w:cs="Times New Roman"/>
          <w:bCs/>
          <w:sz w:val="24"/>
          <w:szCs w:val="24"/>
        </w:rPr>
        <w:t>23. lipnja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2022. godine, donosi</w:t>
      </w:r>
    </w:p>
    <w:p w14:paraId="4D0E98F0" w14:textId="77777777" w:rsidR="00FC7612" w:rsidRDefault="00FC7612" w:rsidP="00FC76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0DFF10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7FED46A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svezi davanja mišljenja o nacrtu provedbenih akata Strategije razvoja Urbanog područja Slavonski Brod za financijsko razdoblje 2021.-2027. – Komunikacijske strategije i Komunikacijskog akcijskog plana</w:t>
      </w:r>
    </w:p>
    <w:p w14:paraId="3627CAEA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03B9A56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99CB1ED" w14:textId="77777777" w:rsidR="00FC7612" w:rsidRDefault="00FC7612" w:rsidP="00FC76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 vijeće Općine Bebrina razmotrilo je dostavljeni nacrt provedbenih akata Strategije razvoja Urbanog područja Slavonski Brod za financijsko razdoblje 2021.-2027. – Komunikacijske strategije i Komunikacijskog akcijskog plana te za iste daje</w:t>
      </w:r>
    </w:p>
    <w:p w14:paraId="0B62C564" w14:textId="77777777" w:rsidR="00FC7612" w:rsidRDefault="00FC7612" w:rsidP="00FC76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3B3D35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POZITIVNO MIŠLJENJE.</w:t>
      </w:r>
    </w:p>
    <w:p w14:paraId="66A7F6B7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B0A9DD" w14:textId="77777777" w:rsidR="00FC7612" w:rsidRDefault="00FC7612" w:rsidP="00FC7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87165E5" w14:textId="77777777" w:rsidR="00FC7612" w:rsidRDefault="00FC7612" w:rsidP="00FC76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Zaključak objavi će se u  Glasniku Općine Bebrina.</w:t>
      </w:r>
    </w:p>
    <w:p w14:paraId="515EB72A" w14:textId="77777777" w:rsidR="00FC7612" w:rsidRDefault="00FC7612" w:rsidP="00FC76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A5B035" w14:textId="77777777" w:rsidR="00FC7612" w:rsidRDefault="00FC7612" w:rsidP="00FC76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F3FAF" w14:textId="77777777" w:rsidR="00FC7612" w:rsidRDefault="00FC7612" w:rsidP="00FC761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CAAF284" w14:textId="77777777" w:rsidR="00FC7612" w:rsidRDefault="00FC7612" w:rsidP="00FC761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2698E7" w14:textId="77777777" w:rsidR="00FC7612" w:rsidRDefault="00FC7612" w:rsidP="00FC761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44C4C5C9" w14:textId="77777777" w:rsidR="00FC7612" w:rsidRDefault="00FC7612" w:rsidP="00FC761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E49120" w14:textId="77777777" w:rsidR="00FC7612" w:rsidRDefault="00FC7612" w:rsidP="00FC7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AA0620D" w14:textId="77777777" w:rsidR="00FC7612" w:rsidRDefault="00FC7612" w:rsidP="00FC7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E5601" w14:textId="77777777" w:rsidR="00FC7612" w:rsidRDefault="00FC7612" w:rsidP="00FC7612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D963092" w14:textId="77777777" w:rsidR="00FC7612" w:rsidRDefault="00FC7612" w:rsidP="00FC7612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5D1FA19" w14:textId="77777777" w:rsidR="00FC7612" w:rsidRDefault="00FC7612" w:rsidP="00FC7612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Slavonski Brod</w:t>
      </w:r>
    </w:p>
    <w:p w14:paraId="4A01726D" w14:textId="3C59A243" w:rsidR="00AC2EB9" w:rsidRPr="00FC7612" w:rsidRDefault="00FC7612" w:rsidP="00FC7612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FC761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AAB"/>
    <w:multiLevelType w:val="hybridMultilevel"/>
    <w:tmpl w:val="8C368EF4"/>
    <w:lvl w:ilvl="0" w:tplc="9BF0F33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57635">
    <w:abstractNumId w:val="1"/>
  </w:num>
  <w:num w:numId="2" w16cid:durableId="1635524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6D0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C7612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2022-06-27T10:14:00Z</dcterms:created>
  <dcterms:modified xsi:type="dcterms:W3CDTF">2022-06-27T10:14:00Z</dcterms:modified>
</cp:coreProperties>
</file>