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F12C" w14:textId="77777777" w:rsidR="00C776D1" w:rsidRDefault="00C776D1">
      <w:pPr>
        <w:jc w:val="center"/>
        <w:rPr>
          <w:b/>
          <w:sz w:val="36"/>
          <w:szCs w:val="36"/>
        </w:rPr>
      </w:pPr>
    </w:p>
    <w:p w14:paraId="3AB31B72" w14:textId="77777777" w:rsidR="00C776D1" w:rsidRDefault="00C776D1">
      <w:pPr>
        <w:jc w:val="center"/>
        <w:rPr>
          <w:b/>
          <w:sz w:val="36"/>
          <w:szCs w:val="36"/>
        </w:rPr>
      </w:pPr>
    </w:p>
    <w:p w14:paraId="0430C500" w14:textId="77777777" w:rsidR="00C776D1" w:rsidRDefault="00C77FD1">
      <w:pPr>
        <w:jc w:val="center"/>
        <w:rPr>
          <w:b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35EF74D0" wp14:editId="3E612009">
            <wp:extent cx="1607820" cy="18745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87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0249A5" w14:textId="77777777" w:rsidR="00C776D1" w:rsidRDefault="00C776D1">
      <w:pPr>
        <w:jc w:val="center"/>
        <w:rPr>
          <w:b/>
          <w:sz w:val="36"/>
          <w:szCs w:val="36"/>
        </w:rPr>
      </w:pPr>
    </w:p>
    <w:p w14:paraId="18D02512" w14:textId="77777777" w:rsidR="00C776D1" w:rsidRDefault="00C776D1">
      <w:pPr>
        <w:jc w:val="center"/>
        <w:rPr>
          <w:b/>
          <w:sz w:val="36"/>
          <w:szCs w:val="36"/>
        </w:rPr>
      </w:pPr>
    </w:p>
    <w:p w14:paraId="042AED1F" w14:textId="77777777" w:rsidR="00C776D1" w:rsidRDefault="00C776D1">
      <w:pPr>
        <w:jc w:val="center"/>
        <w:rPr>
          <w:b/>
          <w:sz w:val="36"/>
          <w:szCs w:val="36"/>
        </w:rPr>
      </w:pPr>
    </w:p>
    <w:p w14:paraId="7DD77FF8" w14:textId="54ADE8BC" w:rsidR="00C776D1" w:rsidRDefault="00C776D1">
      <w:pPr>
        <w:jc w:val="center"/>
        <w:rPr>
          <w:b/>
          <w:sz w:val="36"/>
          <w:szCs w:val="36"/>
        </w:rPr>
      </w:pPr>
    </w:p>
    <w:p w14:paraId="2EC651BC" w14:textId="093A602F" w:rsidR="00E60995" w:rsidRDefault="00E60995">
      <w:pPr>
        <w:jc w:val="center"/>
        <w:rPr>
          <w:b/>
          <w:sz w:val="36"/>
          <w:szCs w:val="36"/>
        </w:rPr>
      </w:pPr>
    </w:p>
    <w:p w14:paraId="1F88981C" w14:textId="77777777" w:rsidR="00E60995" w:rsidRDefault="00E60995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7357"/>
      </w:tblGrid>
      <w:tr w:rsidR="00E60995" w14:paraId="39C192F4" w14:textId="77777777" w:rsidTr="00E60995">
        <w:trPr>
          <w:trHeight w:val="566"/>
          <w:jc w:val="center"/>
        </w:trPr>
        <w:tc>
          <w:tcPr>
            <w:tcW w:w="0" w:type="auto"/>
            <w:tcBorders>
              <w:top w:val="single" w:sz="8" w:space="0" w:color="0B5394"/>
              <w:left w:val="single" w:sz="8" w:space="0" w:color="0B5394"/>
              <w:bottom w:val="single" w:sz="8" w:space="0" w:color="FFFFFF"/>
              <w:right w:val="single" w:sz="8" w:space="0" w:color="FFFFFF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7F7E02" w14:textId="77777777" w:rsidR="00E60995" w:rsidRDefault="00E60995">
            <w:pPr>
              <w:jc w:val="center"/>
              <w:rPr>
                <w:b/>
                <w:bCs/>
                <w:color w:val="BD9E60"/>
              </w:rPr>
            </w:pPr>
            <w:r>
              <w:rPr>
                <w:b/>
                <w:bCs/>
                <w:color w:val="BD9E60"/>
              </w:rPr>
              <w:t>Naziv dokumenta</w:t>
            </w:r>
          </w:p>
        </w:tc>
        <w:tc>
          <w:tcPr>
            <w:tcW w:w="0" w:type="auto"/>
            <w:tcBorders>
              <w:top w:val="single" w:sz="8" w:space="0" w:color="0B5394"/>
              <w:left w:val="single" w:sz="8" w:space="0" w:color="FFFFFF"/>
              <w:bottom w:val="single" w:sz="8" w:space="0" w:color="0B5394"/>
              <w:right w:val="single" w:sz="8" w:space="0" w:color="0B5394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11E66C" w14:textId="17FCB4B9" w:rsidR="00E60995" w:rsidRDefault="00E60995">
            <w:pPr>
              <w:jc w:val="center"/>
            </w:pPr>
            <w:r w:rsidRPr="00E60995">
              <w:t>Komunikacijska strategija za potrebe Strategije razvoja Urbanog područja Slavonski Brod za financijsko razdoblje 2021. - 2027.</w:t>
            </w:r>
          </w:p>
        </w:tc>
      </w:tr>
      <w:tr w:rsidR="00E60995" w14:paraId="683FCBD1" w14:textId="77777777" w:rsidTr="00E60995">
        <w:trPr>
          <w:trHeight w:val="56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0B5394"/>
              <w:bottom w:val="single" w:sz="8" w:space="0" w:color="FFFFFF"/>
              <w:right w:val="single" w:sz="8" w:space="0" w:color="FFFFFF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2F6CB0" w14:textId="77777777" w:rsidR="00E60995" w:rsidRDefault="00E60995">
            <w:pPr>
              <w:jc w:val="center"/>
              <w:rPr>
                <w:b/>
                <w:bCs/>
                <w:color w:val="BD9E60"/>
              </w:rPr>
            </w:pPr>
            <w:r>
              <w:rPr>
                <w:b/>
                <w:bCs/>
                <w:color w:val="BD9E60"/>
              </w:rPr>
              <w:t>Nositelj</w:t>
            </w:r>
          </w:p>
        </w:tc>
        <w:tc>
          <w:tcPr>
            <w:tcW w:w="0" w:type="auto"/>
            <w:tcBorders>
              <w:top w:val="single" w:sz="8" w:space="0" w:color="0B5394"/>
              <w:left w:val="single" w:sz="8" w:space="0" w:color="FFFFFF"/>
              <w:bottom w:val="single" w:sz="8" w:space="0" w:color="0B5394"/>
              <w:right w:val="single" w:sz="8" w:space="0" w:color="0B5394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971CF" w14:textId="77777777" w:rsidR="00E60995" w:rsidRDefault="00E60995">
            <w:pPr>
              <w:jc w:val="center"/>
            </w:pPr>
            <w:r>
              <w:t>Grad Slavonski Brod</w:t>
            </w:r>
          </w:p>
        </w:tc>
      </w:tr>
      <w:tr w:rsidR="00E60995" w14:paraId="4C0BD7DA" w14:textId="77777777" w:rsidTr="00E60995">
        <w:trPr>
          <w:trHeight w:val="56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0B5394"/>
              <w:bottom w:val="single" w:sz="8" w:space="0" w:color="0B5394"/>
              <w:right w:val="single" w:sz="8" w:space="0" w:color="FFFFFF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7B04EA" w14:textId="77777777" w:rsidR="00E60995" w:rsidRDefault="00E60995">
            <w:pPr>
              <w:jc w:val="center"/>
              <w:rPr>
                <w:b/>
                <w:bCs/>
                <w:color w:val="BD9E60"/>
              </w:rPr>
            </w:pPr>
            <w:r>
              <w:rPr>
                <w:b/>
                <w:bCs/>
                <w:color w:val="BD9E60"/>
              </w:rPr>
              <w:t>Datum</w:t>
            </w:r>
          </w:p>
        </w:tc>
        <w:tc>
          <w:tcPr>
            <w:tcW w:w="0" w:type="auto"/>
            <w:tcBorders>
              <w:top w:val="single" w:sz="8" w:space="0" w:color="0B5394"/>
              <w:left w:val="single" w:sz="8" w:space="0" w:color="FFFFFF"/>
              <w:bottom w:val="single" w:sz="8" w:space="0" w:color="0B5394"/>
              <w:right w:val="single" w:sz="8" w:space="0" w:color="0B5394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787420" w14:textId="45239E7B" w:rsidR="00E60995" w:rsidRDefault="00174AC4">
            <w:pPr>
              <w:jc w:val="center"/>
            </w:pPr>
            <w:r>
              <w:t>ožujak</w:t>
            </w:r>
            <w:r w:rsidR="00DA0958">
              <w:t>,</w:t>
            </w:r>
            <w:r w:rsidR="00E60995">
              <w:t xml:space="preserve"> 2022.</w:t>
            </w:r>
          </w:p>
        </w:tc>
      </w:tr>
    </w:tbl>
    <w:p w14:paraId="4F5558C2" w14:textId="77777777" w:rsidR="00C776D1" w:rsidRDefault="00C776D1">
      <w:pPr>
        <w:jc w:val="center"/>
        <w:rPr>
          <w:b/>
          <w:sz w:val="36"/>
          <w:szCs w:val="36"/>
        </w:rPr>
      </w:pPr>
    </w:p>
    <w:p w14:paraId="183AFA7F" w14:textId="77777777" w:rsidR="00C776D1" w:rsidRDefault="00C776D1">
      <w:pPr>
        <w:jc w:val="center"/>
        <w:rPr>
          <w:b/>
          <w:sz w:val="36"/>
          <w:szCs w:val="36"/>
        </w:rPr>
      </w:pPr>
    </w:p>
    <w:p w14:paraId="29A8A2D2" w14:textId="77777777" w:rsidR="00C776D1" w:rsidRDefault="00C776D1">
      <w:pPr>
        <w:jc w:val="center"/>
        <w:rPr>
          <w:b/>
          <w:sz w:val="36"/>
          <w:szCs w:val="36"/>
        </w:rPr>
      </w:pPr>
    </w:p>
    <w:p w14:paraId="1CB2B534" w14:textId="77777777" w:rsidR="00C776D1" w:rsidRDefault="00C776D1"/>
    <w:p w14:paraId="0EDE510E" w14:textId="77777777" w:rsidR="00C776D1" w:rsidRDefault="00C776D1"/>
    <w:p w14:paraId="01D82C4E" w14:textId="77777777" w:rsidR="00C776D1" w:rsidRDefault="00C776D1"/>
    <w:p w14:paraId="5D2851E0" w14:textId="77777777" w:rsidR="00C776D1" w:rsidRDefault="00C776D1">
      <w:pPr>
        <w:jc w:val="center"/>
      </w:pPr>
    </w:p>
    <w:p w14:paraId="6ED9D84A" w14:textId="77777777" w:rsidR="00C776D1" w:rsidRDefault="00C776D1">
      <w:pPr>
        <w:jc w:val="center"/>
      </w:pPr>
    </w:p>
    <w:p w14:paraId="364B7E87" w14:textId="77777777" w:rsidR="00C776D1" w:rsidRDefault="00C776D1">
      <w:pPr>
        <w:jc w:val="center"/>
      </w:pPr>
    </w:p>
    <w:p w14:paraId="0941CD66" w14:textId="77777777" w:rsidR="00C776D1" w:rsidRDefault="00C776D1">
      <w:pPr>
        <w:jc w:val="center"/>
      </w:pPr>
    </w:p>
    <w:p w14:paraId="683DCDFF" w14:textId="77777777" w:rsidR="00C776D1" w:rsidRDefault="00C77FD1">
      <w:r>
        <w:br w:type="page"/>
      </w:r>
    </w:p>
    <w:p w14:paraId="2614AD85" w14:textId="77777777" w:rsidR="00C776D1" w:rsidRDefault="00C77FD1">
      <w:pPr>
        <w:rPr>
          <w:b/>
          <w:color w:val="274162"/>
          <w:sz w:val="32"/>
          <w:szCs w:val="32"/>
        </w:rPr>
      </w:pPr>
      <w:r>
        <w:rPr>
          <w:b/>
          <w:color w:val="274162"/>
          <w:sz w:val="32"/>
          <w:szCs w:val="32"/>
        </w:rPr>
        <w:lastRenderedPageBreak/>
        <w:t>Sadržaj</w:t>
      </w:r>
    </w:p>
    <w:p w14:paraId="025180CA" w14:textId="77777777" w:rsidR="00C776D1" w:rsidRDefault="00C776D1"/>
    <w:p w14:paraId="0BC68513" w14:textId="77777777" w:rsidR="00C776D1" w:rsidRDefault="00C776D1"/>
    <w:p w14:paraId="59EBEC84" w14:textId="77777777" w:rsidR="00C776D1" w:rsidRDefault="00C776D1">
      <w:pPr>
        <w:jc w:val="center"/>
        <w:rPr>
          <w:b/>
          <w:color w:val="CC4125"/>
          <w:sz w:val="24"/>
          <w:szCs w:val="24"/>
        </w:rPr>
      </w:pPr>
    </w:p>
    <w:sdt>
      <w:sdtPr>
        <w:rPr>
          <w:b/>
          <w:bCs/>
          <w:color w:val="274162"/>
        </w:rPr>
        <w:id w:val="-1728441297"/>
        <w:docPartObj>
          <w:docPartGallery w:val="Table of Contents"/>
          <w:docPartUnique/>
        </w:docPartObj>
      </w:sdtPr>
      <w:sdtEndPr/>
      <w:sdtContent>
        <w:p w14:paraId="255BD035" w14:textId="598425D8" w:rsidR="000F6902" w:rsidRPr="000F6902" w:rsidRDefault="00C77FD1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r w:rsidRPr="000F6902">
            <w:rPr>
              <w:b/>
              <w:bCs/>
              <w:color w:val="274162"/>
            </w:rPr>
            <w:fldChar w:fldCharType="begin"/>
          </w:r>
          <w:r w:rsidRPr="000F6902">
            <w:rPr>
              <w:b/>
              <w:bCs/>
              <w:color w:val="274162"/>
            </w:rPr>
            <w:instrText xml:space="preserve"> TOC \h \u \z </w:instrText>
          </w:r>
          <w:r w:rsidRPr="000F6902">
            <w:rPr>
              <w:b/>
              <w:bCs/>
              <w:color w:val="274162"/>
            </w:rPr>
            <w:fldChar w:fldCharType="separate"/>
          </w:r>
          <w:hyperlink w:anchor="_Toc97556647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1. Kontekst i uvod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_Toc97556647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1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4E4F3C26" w14:textId="198E2E04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48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2. Analiza stanja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_Toc97556648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1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50C34ECD" w14:textId="46187146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49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3. Komunikacijski ciljevi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_Toc97556649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2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6FB2F5DF" w14:textId="4F4163E8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0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4. Ciljana publika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_Toc97556650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2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3F8F5F54" w14:textId="6C563FE0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1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5. Medijska strategija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_Toc97556651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4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7A48E1F8" w14:textId="21D9A2FF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2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7. Ključne poruke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_Toc97556652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5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5911D9BC" w14:textId="2E07CD32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3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6. Očekivani rezultati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_Toc97556653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5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1CDAD7D7" w14:textId="4BCF7504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4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8. Međuovisnosti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_Toc97556654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6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12972515" w14:textId="676ABD43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5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9. Rizici i problemi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_Toc97556655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7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4B763F2A" w14:textId="5EF24895" w:rsidR="000F6902" w:rsidRPr="000F6902" w:rsidRDefault="00A27D2A">
          <w:pPr>
            <w:pStyle w:val="TOC1"/>
            <w:tabs>
              <w:tab w:val="right" w:pos="9019"/>
            </w:tabs>
            <w:rPr>
              <w:rFonts w:asciiTheme="minorHAnsi" w:eastAsiaTheme="minorEastAsia" w:hAnsiTheme="minorHAnsi" w:cstheme="minorBidi"/>
              <w:b/>
              <w:bCs/>
              <w:noProof/>
              <w:color w:val="274162"/>
            </w:rPr>
          </w:pPr>
          <w:hyperlink w:anchor="_Toc97556656" w:history="1">
            <w:r w:rsidR="000F6902" w:rsidRPr="000F6902">
              <w:rPr>
                <w:rStyle w:val="Hyperlink"/>
                <w:b/>
                <w:bCs/>
                <w:noProof/>
                <w:color w:val="274162"/>
              </w:rPr>
              <w:t>10. Ocjenjivanje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tab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begin"/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instrText xml:space="preserve"> PAGEREF _Toc97556656 \h </w:instrTex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separate"/>
            </w:r>
            <w:r w:rsidR="00BB6AF0">
              <w:rPr>
                <w:b/>
                <w:bCs/>
                <w:noProof/>
                <w:webHidden/>
                <w:color w:val="274162"/>
              </w:rPr>
              <w:t>8</w:t>
            </w:r>
            <w:r w:rsidR="000F6902" w:rsidRPr="000F6902">
              <w:rPr>
                <w:b/>
                <w:bCs/>
                <w:noProof/>
                <w:webHidden/>
                <w:color w:val="274162"/>
              </w:rPr>
              <w:fldChar w:fldCharType="end"/>
            </w:r>
          </w:hyperlink>
        </w:p>
        <w:p w14:paraId="7B984C14" w14:textId="1262125D" w:rsidR="00C776D1" w:rsidRDefault="00C77FD1">
          <w:pPr>
            <w:tabs>
              <w:tab w:val="right" w:pos="9025"/>
            </w:tabs>
            <w:spacing w:before="200" w:after="80" w:line="240" w:lineRule="auto"/>
            <w:rPr>
              <w:b/>
              <w:color w:val="274162"/>
              <w:sz w:val="24"/>
              <w:szCs w:val="24"/>
            </w:rPr>
          </w:pPr>
          <w:r w:rsidRPr="000F6902">
            <w:rPr>
              <w:b/>
              <w:bCs/>
              <w:color w:val="274162"/>
            </w:rPr>
            <w:fldChar w:fldCharType="end"/>
          </w:r>
        </w:p>
      </w:sdtContent>
    </w:sdt>
    <w:p w14:paraId="1CAB848B" w14:textId="77777777" w:rsidR="00C776D1" w:rsidRDefault="00C776D1">
      <w:pPr>
        <w:rPr>
          <w:b/>
          <w:color w:val="274162"/>
          <w:sz w:val="26"/>
          <w:szCs w:val="26"/>
        </w:rPr>
        <w:sectPr w:rsidR="00C776D1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7B0883E9" w14:textId="77777777" w:rsidR="00C776D1" w:rsidRDefault="00C77FD1">
      <w:pPr>
        <w:pStyle w:val="Heading1"/>
        <w:ind w:left="0"/>
      </w:pPr>
      <w:bookmarkStart w:id="0" w:name="_Toc97556647"/>
      <w:r>
        <w:lastRenderedPageBreak/>
        <w:t xml:space="preserve">1. </w:t>
      </w:r>
      <w:r w:rsidRPr="000F6902">
        <w:t>Kontekst</w:t>
      </w:r>
      <w:r>
        <w:t xml:space="preserve"> i uvod</w:t>
      </w:r>
      <w:bookmarkEnd w:id="0"/>
    </w:p>
    <w:p w14:paraId="10B9836C" w14:textId="77777777" w:rsidR="00C776D1" w:rsidRDefault="00C776D1"/>
    <w:p w14:paraId="37F390CA" w14:textId="2C253DF3" w:rsidR="00C776D1" w:rsidRDefault="00C77FD1">
      <w:r>
        <w:t xml:space="preserve">Strategija razvoja urbanog područja je akt strateškog planiranja u okviru politike regionalnog razvoja koji služi kao multi-sektorski strateški okvir kojim se planira razvoj urbanog područja kao cjeline unutar jasno definiranog razdoblja. Formiranjem urbanog područja prepoznaje se važnost povezivanja na lokalnoj razini s ciljem stvaranja sinergijskih rezultata temeljenih na integriranom pristupu u rješavanju zajedničkih izazova. Uz navedeno, formiranje urbanog područja predstavlja i preduvjet za korištenje Integriranog teritorijalnog mehanizma (ITU mehanizma) za sedmogodišnje razdoblje u skladu s višegodišnjim financijskim okvirom kohezijske politike Europske unije, obzirom da regulativa kao preduvjet korištenja sredstva uvjetuje izradu </w:t>
      </w:r>
      <w:r w:rsidR="00974A91">
        <w:t>Strategije razvoja urbanog područja.</w:t>
      </w:r>
    </w:p>
    <w:p w14:paraId="160664F6" w14:textId="77777777" w:rsidR="00C776D1" w:rsidRDefault="00C776D1"/>
    <w:p w14:paraId="0E5BE11A" w14:textId="77777777" w:rsidR="00C776D1" w:rsidRDefault="00C77FD1">
      <w:r>
        <w:t xml:space="preserve">Svrha ovog dokumenta je definirati sve elemente komunikacije s ključnim dionicima. Kroz dokument komunikacijske strategije definiraju se ciljevi i ciljane skupine, komunikacijske mjere, aktivnosti i alati komunikacije, kako interne tako i prema svim vanjskim zainteresiranim, odnosno ciljanim stranama, zatim praćenje i vrednovanje učinaka komuniciranja, izvori financiranja (proračun) te kontaktne točke informiranja i komuniciranja. </w:t>
      </w:r>
    </w:p>
    <w:p w14:paraId="75D74A9B" w14:textId="77777777" w:rsidR="00C776D1" w:rsidRDefault="00C776D1"/>
    <w:p w14:paraId="5F5603EF" w14:textId="2B187099" w:rsidR="00C776D1" w:rsidRDefault="00C77FD1">
      <w:r>
        <w:t xml:space="preserve">Sukladno </w:t>
      </w:r>
      <w:r w:rsidR="00974A91">
        <w:t>s</w:t>
      </w:r>
      <w:r>
        <w:t>mjernic</w:t>
      </w:r>
      <w:r w:rsidR="00974A91">
        <w:t>ama</w:t>
      </w:r>
      <w:r>
        <w:t xml:space="preserve"> za izradu strategije razvoja urbanih područja, praćenje njihove provedbe i vrednovanje donesene od strane Ministarstva regionalnog razvoja i fondova EU kao nadležnog tijela za provedbu ITU mehanizma</w:t>
      </w:r>
      <w:r w:rsidR="00974A91">
        <w:t>, urbana područja imaju</w:t>
      </w:r>
      <w:r>
        <w:t xml:space="preserve"> obvezu izrade komunikacijske strategije i akcijskog plana, te </w:t>
      </w:r>
      <w:r w:rsidR="00974A91">
        <w:t>je također</w:t>
      </w:r>
      <w:r>
        <w:t xml:space="preserve"> predložen</w:t>
      </w:r>
      <w:r w:rsidR="00974A91">
        <w:t>a</w:t>
      </w:r>
      <w:r>
        <w:t xml:space="preserve"> struktur</w:t>
      </w:r>
      <w:r w:rsidR="00974A91">
        <w:t>a</w:t>
      </w:r>
      <w:r>
        <w:t xml:space="preserve"> dokumenta</w:t>
      </w:r>
      <w:r w:rsidR="00974A91">
        <w:t>.</w:t>
      </w:r>
    </w:p>
    <w:p w14:paraId="01E1C9C2" w14:textId="77777777" w:rsidR="00C776D1" w:rsidRDefault="00C776D1"/>
    <w:p w14:paraId="4E05DA76" w14:textId="77777777" w:rsidR="00C776D1" w:rsidRDefault="00C77FD1">
      <w:pPr>
        <w:pStyle w:val="Heading1"/>
        <w:ind w:left="0"/>
      </w:pPr>
      <w:bookmarkStart w:id="1" w:name="_Toc97556648"/>
      <w:r>
        <w:t>2. Analiza stanja</w:t>
      </w:r>
      <w:bookmarkEnd w:id="1"/>
    </w:p>
    <w:p w14:paraId="519AC98B" w14:textId="77777777" w:rsidR="00C776D1" w:rsidRDefault="00C776D1"/>
    <w:p w14:paraId="3A32C0D3" w14:textId="2D723746" w:rsidR="00C776D1" w:rsidRDefault="00B76B79" w:rsidP="00B76B79">
      <w:pPr>
        <w:pBdr>
          <w:top w:val="nil"/>
          <w:left w:val="nil"/>
          <w:bottom w:val="nil"/>
          <w:right w:val="nil"/>
          <w:between w:val="nil"/>
        </w:pBdr>
      </w:pPr>
      <w:r>
        <w:t>Prema navedenim</w:t>
      </w:r>
      <w:r w:rsidR="00C77FD1">
        <w:t xml:space="preserve"> smjernicama</w:t>
      </w:r>
      <w:r>
        <w:t>,</w:t>
      </w:r>
      <w:r w:rsidR="00C77FD1">
        <w:t xml:space="preserve"> </w:t>
      </w:r>
      <w:r>
        <w:t xml:space="preserve">Komunikacijska strategija i komunikacijski akcijski plan donose se u roku od 90 dana od dana stupanja na snagu odluke predstavničkog tijela grada središta urbanoga područja o izradi SRUPa, </w:t>
      </w:r>
      <w:r w:rsidR="00C77FD1">
        <w:t>u ovom slučaju Odluke o pokretanju postupka izrade Strategije razvoja Urbanog područja Slavonski Brod za financijsko razdoblje 2021. - 2027. (u daljnjem tekstu SRUP)</w:t>
      </w:r>
      <w:r>
        <w:t xml:space="preserve">. </w:t>
      </w:r>
      <w:r w:rsidR="00C77FD1">
        <w:t xml:space="preserve">Obzirom da je proces izrade strateškog dokumenta sveobuhvatan, dugotrajan i participativan, u definiranom roku nije izrađena cjelokupna analiza stanja povezana s aktom strateškog planiranja odnosno SWOT analiza urbanog područja, ali se ona ne smatra ključnom za izradu ovog strateškog dokumenta. </w:t>
      </w:r>
    </w:p>
    <w:p w14:paraId="481C24A3" w14:textId="77777777" w:rsidR="00C776D1" w:rsidRDefault="00C776D1">
      <w:pPr>
        <w:pBdr>
          <w:top w:val="nil"/>
          <w:left w:val="nil"/>
          <w:bottom w:val="nil"/>
          <w:right w:val="nil"/>
          <w:between w:val="nil"/>
        </w:pBdr>
      </w:pPr>
    </w:p>
    <w:p w14:paraId="7AB64DB7" w14:textId="11BF49BB" w:rsidR="00C776D1" w:rsidRDefault="00C77FD1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Analiza stanja usko povezana s načinima komuniciranja pokazuje zadovoljavajuće trenutno stanje na urbanom području, odnosno dobru polazišnu osnovu za unapređenje komunikacije i usmjeravanje iste prema definiranima ciljnim skupinama. Sve JLS iz obuhvata UP, u okviru svojih dužnosti i zakonskih obveza, na učinkovit i transparentan način komuniciraju s javnošću te objavljuju informacije potrebne stanovnicima. Većina je aktivna i na društvenim mrežama te ih koriste kao alat komunikacije s građanima, prvenstveno mlađom populacijom. Od rizika, valja izdvojiti mogućnost pretjeranog informiranja, odnosno zasićenja stanovnika novim informacijama i sagledavanje zaprimljenih informacija kroz prizmu politike, pa samim time i gubljenja interesa za ostvarivanje dvosmjerne komunikacije. Urbanom području predstoji iskoristiti prilike koje se nude </w:t>
      </w:r>
      <w:r>
        <w:lastRenderedPageBreak/>
        <w:t>u novim (digitalnim) komunikacijskim alatima i otvoriti kanale za dvosmjernu komunikaciju s ciljem jačanja pov</w:t>
      </w:r>
      <w:r w:rsidR="00B76B79">
        <w:t>r</w:t>
      </w:r>
      <w:r>
        <w:t xml:space="preserve">atnih reakcija i prilagođavanja strategije stvarnim potrebama i željama stanovnika. </w:t>
      </w:r>
    </w:p>
    <w:p w14:paraId="3ED050C7" w14:textId="77777777" w:rsidR="00C776D1" w:rsidRDefault="00C776D1">
      <w:pPr>
        <w:pBdr>
          <w:top w:val="nil"/>
          <w:left w:val="nil"/>
          <w:bottom w:val="nil"/>
          <w:right w:val="nil"/>
          <w:between w:val="nil"/>
        </w:pBdr>
      </w:pPr>
    </w:p>
    <w:p w14:paraId="58B7C054" w14:textId="77777777" w:rsidR="00C776D1" w:rsidRDefault="00C77FD1">
      <w:pPr>
        <w:pStyle w:val="Heading1"/>
        <w:ind w:left="0"/>
      </w:pPr>
      <w:bookmarkStart w:id="2" w:name="_Toc97556649"/>
      <w:r>
        <w:t>3. Komunikacijski ciljevi</w:t>
      </w:r>
      <w:bookmarkEnd w:id="2"/>
    </w:p>
    <w:p w14:paraId="1C5A2EC9" w14:textId="77777777" w:rsidR="00C776D1" w:rsidRDefault="00C776D1"/>
    <w:p w14:paraId="4AC18772" w14:textId="77777777" w:rsidR="00C776D1" w:rsidRDefault="00C77FD1">
      <w:r>
        <w:t xml:space="preserve">Komunikacija je usmjerena uspostavljanju i građenju odnosa s drugim dionicima odnosno informiranju i uključivanju ključnih dionika u proces izrade i provedbe SRUP-a. </w:t>
      </w:r>
    </w:p>
    <w:p w14:paraId="7D76039E" w14:textId="77777777" w:rsidR="00C776D1" w:rsidRDefault="00C776D1"/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190"/>
      </w:tblGrid>
      <w:tr w:rsidR="00C776D1" w14:paraId="4518BB51" w14:textId="77777777">
        <w:trPr>
          <w:trHeight w:val="400"/>
        </w:trPr>
        <w:tc>
          <w:tcPr>
            <w:tcW w:w="9000" w:type="dxa"/>
            <w:gridSpan w:val="2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5B11F" w14:textId="77777777" w:rsidR="00C776D1" w:rsidRDefault="00C77FD1">
            <w:pPr>
              <w:widowControl w:val="0"/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Opći cilj komunikacijske strategije SRUP-a</w:t>
            </w:r>
          </w:p>
        </w:tc>
      </w:tr>
      <w:tr w:rsidR="00C776D1" w14:paraId="30C557C8" w14:textId="77777777">
        <w:trPr>
          <w:trHeight w:val="400"/>
        </w:trPr>
        <w:tc>
          <w:tcPr>
            <w:tcW w:w="9000" w:type="dxa"/>
            <w:gridSpan w:val="2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6F016" w14:textId="77777777" w:rsidR="00C776D1" w:rsidRDefault="00C77FD1">
            <w:pPr>
              <w:widowControl w:val="0"/>
              <w:spacing w:line="240" w:lineRule="auto"/>
              <w:jc w:val="center"/>
              <w:rPr>
                <w:color w:val="274162"/>
                <w:sz w:val="20"/>
                <w:szCs w:val="20"/>
              </w:rPr>
            </w:pPr>
            <w:r>
              <w:rPr>
                <w:color w:val="274162"/>
                <w:sz w:val="20"/>
                <w:szCs w:val="20"/>
              </w:rPr>
              <w:t xml:space="preserve">Priopćiti ključne informacije vezano uz formiranje urbanog područja, definirane ciljeve te u konačnici rezultate provedbe SRUP-a kroz višegodišnje razdoblje, ali i aktivno uključiti stanovnike u predlaganje mjera i redovno ažuriranje strategije. </w:t>
            </w:r>
          </w:p>
        </w:tc>
      </w:tr>
      <w:tr w:rsidR="00C776D1" w14:paraId="3734F345" w14:textId="77777777">
        <w:trPr>
          <w:trHeight w:val="400"/>
        </w:trPr>
        <w:tc>
          <w:tcPr>
            <w:tcW w:w="9000" w:type="dxa"/>
            <w:gridSpan w:val="2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5AB1" w14:textId="77777777" w:rsidR="00C776D1" w:rsidRDefault="00C77FD1">
            <w:pPr>
              <w:widowControl w:val="0"/>
              <w:spacing w:line="240" w:lineRule="auto"/>
              <w:jc w:val="center"/>
              <w:rPr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Specifični ciljevi</w:t>
            </w:r>
          </w:p>
        </w:tc>
      </w:tr>
      <w:tr w:rsidR="00C776D1" w14:paraId="353DA2C4" w14:textId="77777777">
        <w:tc>
          <w:tcPr>
            <w:tcW w:w="81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57609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SC 1</w:t>
            </w:r>
          </w:p>
        </w:tc>
        <w:tc>
          <w:tcPr>
            <w:tcW w:w="819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DF43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274162"/>
                <w:sz w:val="20"/>
                <w:szCs w:val="20"/>
              </w:rPr>
            </w:pPr>
            <w:r>
              <w:rPr>
                <w:color w:val="274162"/>
                <w:sz w:val="20"/>
                <w:szCs w:val="20"/>
              </w:rPr>
              <w:t>Podizanje svijesti o važnosti i razlozima strateškog planiranja na razini urbanog područja</w:t>
            </w:r>
          </w:p>
        </w:tc>
      </w:tr>
      <w:tr w:rsidR="00C776D1" w14:paraId="360DCE20" w14:textId="77777777">
        <w:tc>
          <w:tcPr>
            <w:tcW w:w="81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9FE11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SC 2</w:t>
            </w:r>
          </w:p>
        </w:tc>
        <w:tc>
          <w:tcPr>
            <w:tcW w:w="819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482E1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274162"/>
                <w:sz w:val="20"/>
                <w:szCs w:val="20"/>
              </w:rPr>
            </w:pPr>
            <w:r>
              <w:rPr>
                <w:color w:val="274162"/>
                <w:sz w:val="20"/>
                <w:szCs w:val="20"/>
              </w:rPr>
              <w:t>Uspostava kvalitetnih kanala komunikacije sa stanovnicima cijelog urbanog područja</w:t>
            </w:r>
          </w:p>
        </w:tc>
      </w:tr>
      <w:tr w:rsidR="00C776D1" w14:paraId="569C7C62" w14:textId="77777777">
        <w:tc>
          <w:tcPr>
            <w:tcW w:w="81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97A0A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SC 3</w:t>
            </w:r>
          </w:p>
        </w:tc>
        <w:tc>
          <w:tcPr>
            <w:tcW w:w="819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BB85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274162"/>
                <w:sz w:val="20"/>
                <w:szCs w:val="20"/>
              </w:rPr>
            </w:pPr>
            <w:r>
              <w:rPr>
                <w:color w:val="274162"/>
                <w:sz w:val="20"/>
                <w:szCs w:val="20"/>
              </w:rPr>
              <w:t>Podizanje svijesti stanovnika o pripadanju urbanom području i međusobnoj povezanosti</w:t>
            </w:r>
          </w:p>
        </w:tc>
      </w:tr>
      <w:tr w:rsidR="00C776D1" w14:paraId="3539AEF4" w14:textId="77777777">
        <w:tc>
          <w:tcPr>
            <w:tcW w:w="81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912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SC 4</w:t>
            </w:r>
          </w:p>
        </w:tc>
        <w:tc>
          <w:tcPr>
            <w:tcW w:w="819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EFFD8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274162"/>
                <w:sz w:val="20"/>
                <w:szCs w:val="20"/>
              </w:rPr>
            </w:pPr>
            <w:r>
              <w:rPr>
                <w:color w:val="274162"/>
                <w:sz w:val="20"/>
                <w:szCs w:val="20"/>
              </w:rPr>
              <w:t>Informiranje o zajedničkim projektima i inicijativama urbanog područja te prilikama za financiranje</w:t>
            </w:r>
          </w:p>
        </w:tc>
      </w:tr>
      <w:tr w:rsidR="00C776D1" w14:paraId="6947C41B" w14:textId="77777777">
        <w:tc>
          <w:tcPr>
            <w:tcW w:w="81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983F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SC 5</w:t>
            </w:r>
          </w:p>
        </w:tc>
        <w:tc>
          <w:tcPr>
            <w:tcW w:w="819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731A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274162"/>
                <w:sz w:val="20"/>
                <w:szCs w:val="20"/>
              </w:rPr>
            </w:pPr>
            <w:r>
              <w:rPr>
                <w:color w:val="274162"/>
                <w:sz w:val="20"/>
                <w:szCs w:val="20"/>
              </w:rPr>
              <w:t>Ostvarivanje dvosmjerne komunikacije s ključnim dionicima u praćenju provedbe SRUP-a</w:t>
            </w:r>
          </w:p>
        </w:tc>
      </w:tr>
    </w:tbl>
    <w:p w14:paraId="013B244B" w14:textId="77777777" w:rsidR="00C776D1" w:rsidRDefault="00C776D1"/>
    <w:p w14:paraId="54EBF49C" w14:textId="77777777" w:rsidR="00C776D1" w:rsidRDefault="00C77FD1">
      <w:pPr>
        <w:pStyle w:val="Heading1"/>
        <w:ind w:left="0"/>
      </w:pPr>
      <w:bookmarkStart w:id="3" w:name="_Toc97556650"/>
      <w:r>
        <w:t>4. Ciljana publika</w:t>
      </w:r>
      <w:bookmarkEnd w:id="3"/>
    </w:p>
    <w:p w14:paraId="7B13FAAF" w14:textId="77777777" w:rsidR="00C776D1" w:rsidRDefault="00C776D1"/>
    <w:p w14:paraId="4884F419" w14:textId="77777777" w:rsidR="00C776D1" w:rsidRDefault="00C77FD1">
      <w:r>
        <w:t xml:space="preserve">Kontinuirana i transparentna komunikacija s ciljnim skupinama osnova je participativnog pristupa koji obilježava samu izradu SRUP-a. Uključenost dionika od samog početka, odnosno ustrojavanja urbanog područja, preduvjet je učinkovite izrade i provedbe SRUP-a i provedbenih akata, odnosno Komunikacijske strategije i Komunikacijskog akcijskog plana. </w:t>
      </w:r>
    </w:p>
    <w:p w14:paraId="2F954BE8" w14:textId="77777777" w:rsidR="00C776D1" w:rsidRDefault="00C776D1"/>
    <w:p w14:paraId="0D8DE18B" w14:textId="77777777" w:rsidR="00C776D1" w:rsidRDefault="00C77FD1">
      <w:r>
        <w:t>Ciljne skupine, sukladno svojoj ulozi u izradi i provedbi SRUP-a raznolike su strukture, pa samim time zahtijevaju i raznolike komunikacijske mjere, a podijeljene su u dvije osnovne kategorije - interne ciljne skupine i vanjske ciljne skupine. Popis ciljnih skupina predstavlja temeljni okvir za planiranje specifičnih aktivnosti prema pojedinim skupinama, a sve s ciljem uključivanja relevantnih dionika u postupke izrade, provedbe te praćenja provedbe i vrednovanja SRUP-a:</w:t>
      </w:r>
    </w:p>
    <w:p w14:paraId="1712584E" w14:textId="77777777" w:rsidR="00C776D1" w:rsidRDefault="00C776D1"/>
    <w:p w14:paraId="35D274C4" w14:textId="77777777" w:rsidR="00C776D1" w:rsidRDefault="00C77FD1">
      <w:pPr>
        <w:numPr>
          <w:ilvl w:val="0"/>
          <w:numId w:val="1"/>
        </w:numPr>
      </w:pPr>
      <w:r>
        <w:t>Koordinacijsko vijeće i Partnersko vijeće;</w:t>
      </w:r>
    </w:p>
    <w:p w14:paraId="65D6412B" w14:textId="77777777" w:rsidR="00C776D1" w:rsidRDefault="00C77FD1">
      <w:pPr>
        <w:numPr>
          <w:ilvl w:val="0"/>
          <w:numId w:val="1"/>
        </w:numPr>
      </w:pPr>
      <w:r>
        <w:t>Ministarstvo regionalnog razvoja i fondova Europske unije;</w:t>
      </w:r>
    </w:p>
    <w:p w14:paraId="678EF0C6" w14:textId="77777777" w:rsidR="00C776D1" w:rsidRDefault="00C77FD1">
      <w:pPr>
        <w:numPr>
          <w:ilvl w:val="0"/>
          <w:numId w:val="1"/>
        </w:numPr>
      </w:pPr>
      <w:r>
        <w:t>Mediji;</w:t>
      </w:r>
    </w:p>
    <w:p w14:paraId="71B7DA2E" w14:textId="77777777" w:rsidR="00C776D1" w:rsidRDefault="00C77FD1">
      <w:pPr>
        <w:numPr>
          <w:ilvl w:val="0"/>
          <w:numId w:val="1"/>
        </w:numPr>
      </w:pPr>
      <w:r>
        <w:t>Ostali ključni dionici (gospodarski subjekti, znanstvena zajednica, socijalni partneri, organizacije civilnog društva i dr.);</w:t>
      </w:r>
    </w:p>
    <w:p w14:paraId="353A1963" w14:textId="77777777" w:rsidR="00C776D1" w:rsidRDefault="00C77FD1">
      <w:pPr>
        <w:numPr>
          <w:ilvl w:val="0"/>
          <w:numId w:val="1"/>
        </w:numPr>
      </w:pPr>
      <w:r>
        <w:lastRenderedPageBreak/>
        <w:t>Šira javnost.</w:t>
      </w:r>
    </w:p>
    <w:p w14:paraId="10ECBC6A" w14:textId="77777777" w:rsidR="00C776D1" w:rsidRDefault="00C776D1"/>
    <w:tbl>
      <w:tblPr>
        <w:tblStyle w:val="aa"/>
        <w:tblW w:w="9000" w:type="dxa"/>
        <w:tblInd w:w="0" w:type="dxa"/>
        <w:tblBorders>
          <w:top w:val="single" w:sz="8" w:space="0" w:color="157AC0"/>
          <w:left w:val="single" w:sz="8" w:space="0" w:color="157AC0"/>
          <w:bottom w:val="single" w:sz="8" w:space="0" w:color="157AC0"/>
          <w:right w:val="single" w:sz="8" w:space="0" w:color="157AC0"/>
          <w:insideH w:val="single" w:sz="8" w:space="0" w:color="157AC0"/>
          <w:insideV w:val="single" w:sz="8" w:space="0" w:color="157AC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645"/>
      </w:tblGrid>
      <w:tr w:rsidR="00C776D1" w14:paraId="09EAD4DE" w14:textId="77777777">
        <w:trPr>
          <w:trHeight w:val="420"/>
        </w:trPr>
        <w:tc>
          <w:tcPr>
            <w:tcW w:w="9000" w:type="dxa"/>
            <w:gridSpan w:val="2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4F2F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Interne ciljne skupine</w:t>
            </w:r>
          </w:p>
        </w:tc>
      </w:tr>
      <w:tr w:rsidR="00C776D1" w14:paraId="5C3C3CEA" w14:textId="77777777">
        <w:tc>
          <w:tcPr>
            <w:tcW w:w="235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4ECEB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Koordinacijsko vijeće</w:t>
            </w:r>
          </w:p>
        </w:tc>
        <w:tc>
          <w:tcPr>
            <w:tcW w:w="664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1A38D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Koordinacijsko vijeće je tijelo zaduženo za koordinaciju izrade, izmjene i/ili dopune, donošenja, provedbe i praćenja provedbe strategije razvoja urbanoga područja. Koordinacijsko vijeće daje mišljenje o svim ključnim koracima u postupku izrade i provedbe SRUP-a prije upućivanja dokumenata na predstavnička tijela JLS-ova.</w:t>
            </w:r>
          </w:p>
          <w:p w14:paraId="4E5C2A32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  <w:p w14:paraId="40CB8F1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Koordinacijsko vijeće čine gradonačelnici i načelnici svih gradova i općina koje su u sastavu UP Slavonski Brod, odnosno njihovi zamjenici.</w:t>
            </w:r>
          </w:p>
        </w:tc>
      </w:tr>
      <w:tr w:rsidR="00C776D1" w14:paraId="12D6BD3D" w14:textId="77777777">
        <w:tc>
          <w:tcPr>
            <w:tcW w:w="235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9D0A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Partnersko vijeće</w:t>
            </w:r>
          </w:p>
        </w:tc>
        <w:tc>
          <w:tcPr>
            <w:tcW w:w="664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54804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Partnersko vijeće sudjeluje u donošenju SRUP-a, utvrđuje prioritete razvoja urbanog područja, predlaže strateške projekte važne za područje, te prati cjelokupnu provedbu. Partnersko vijeće djeluje sukladno načelu partnerstva i suradnje, vodeći računa o zastupljenosti različitih aktera razvoja iz urbanog područja i zastupljenosti interesa većine stanovništva s područja obuhvata, stoga ga čine:</w:t>
            </w:r>
          </w:p>
          <w:p w14:paraId="02689CA5" w14:textId="77777777" w:rsidR="00C776D1" w:rsidRDefault="00C77FD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Predstavnici svih JLS-ova u sastavu UP Slavonski Brod;</w:t>
            </w:r>
          </w:p>
          <w:p w14:paraId="024E1B98" w14:textId="46EAA4D1" w:rsidR="00C776D1" w:rsidRDefault="00C77FD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Predstavnici Brodsko-posavske županije i CTR - Centar za razvoj Brodsko-posavske županije </w:t>
            </w:r>
            <w:r w:rsidR="00EA25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regionalni koordinator</w:t>
            </w:r>
            <w:r w:rsidR="00EA25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09854BCC" w14:textId="77777777" w:rsidR="00C776D1" w:rsidRDefault="00C77FD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Predstavnici javnih tijela značajnih za razvoj UP Slavonski Brod;</w:t>
            </w:r>
          </w:p>
          <w:p w14:paraId="59B996B6" w14:textId="77777777" w:rsidR="00C776D1" w:rsidRDefault="00C77FD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Predstavnici visokoškolskih ustanova, pružatelja obrazovnih usluga i usluga osposobljavanja;</w:t>
            </w:r>
          </w:p>
          <w:p w14:paraId="3FD7B2E1" w14:textId="77777777" w:rsidR="00C776D1" w:rsidRDefault="00C77FD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Predstavnici gospodarskih i socijalnih partnera;</w:t>
            </w:r>
          </w:p>
          <w:p w14:paraId="50F6458B" w14:textId="77777777" w:rsidR="00C776D1" w:rsidRDefault="00C77FD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Predstavnici organizacija civilnog društva.</w:t>
            </w:r>
          </w:p>
        </w:tc>
      </w:tr>
      <w:tr w:rsidR="00C776D1" w14:paraId="5963629A" w14:textId="77777777">
        <w:tc>
          <w:tcPr>
            <w:tcW w:w="235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9B89" w14:textId="77777777" w:rsidR="00C776D1" w:rsidRDefault="00C77FD1">
            <w:pPr>
              <w:widowControl w:val="0"/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MRRFEU</w:t>
            </w:r>
          </w:p>
        </w:tc>
        <w:tc>
          <w:tcPr>
            <w:tcW w:w="664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9B076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MRRFEU kao nositelj politika i mjera regionalnog razvoja i razvoj funkcionalnih urbanih područja u okviru mehanizma Integriranih teritorijalnih ulaganja (ITU).</w:t>
            </w:r>
          </w:p>
        </w:tc>
      </w:tr>
      <w:tr w:rsidR="00C776D1" w14:paraId="79F2EE3D" w14:textId="77777777">
        <w:trPr>
          <w:trHeight w:val="420"/>
        </w:trPr>
        <w:tc>
          <w:tcPr>
            <w:tcW w:w="9000" w:type="dxa"/>
            <w:gridSpan w:val="2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A8F9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Eksterne ciljne skupine</w:t>
            </w:r>
          </w:p>
        </w:tc>
      </w:tr>
      <w:tr w:rsidR="00C776D1" w14:paraId="3D49671E" w14:textId="77777777">
        <w:tc>
          <w:tcPr>
            <w:tcW w:w="235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A9351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Mediji</w:t>
            </w:r>
          </w:p>
        </w:tc>
        <w:tc>
          <w:tcPr>
            <w:tcW w:w="664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27FB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relevantni nacionalni, regionalni i lokalni mediji koji su usmjereni na izvještavanje o temama vezanim uz stanje, razvoj i aktualnosti na području UP Slavonski Brod. Mediji su značajna ciljna skupina jer osim uloge dionika imaju i ključnu ulogu relevantnog komunikacijskog kanala, odnosno posrednika u plasmanu svih ključnih informacija prema drugim ciljanim skupinama, osobito široj javnosti.</w:t>
            </w:r>
          </w:p>
        </w:tc>
      </w:tr>
      <w:tr w:rsidR="00C776D1" w14:paraId="6C3FBF77" w14:textId="77777777">
        <w:tc>
          <w:tcPr>
            <w:tcW w:w="235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5BE1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Šira javnost</w:t>
            </w:r>
          </w:p>
        </w:tc>
        <w:tc>
          <w:tcPr>
            <w:tcW w:w="664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B6508" w14:textId="3A1307E8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Skupina obuhvaća cjelokupno građanstvo, a u komunikaciji će biti vođeno računa da se ona segmentira na podskupine, primarno na građanstvo s područja obuhvata, odnosno stanovnike </w:t>
            </w:r>
            <w:r w:rsidR="00B76B7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JLS. Od navedene podskupine se očekuje participacija u fazi javnog savjetovanja SRUP-a, stoga ju je prethodno potrebno dodatno informirati i potaknuti na sudjelovanje.</w:t>
            </w:r>
          </w:p>
        </w:tc>
      </w:tr>
    </w:tbl>
    <w:p w14:paraId="64A13715" w14:textId="77777777" w:rsidR="00C776D1" w:rsidRDefault="00C776D1"/>
    <w:p w14:paraId="17CB0E67" w14:textId="77777777" w:rsidR="00C776D1" w:rsidRDefault="00C77FD1">
      <w:r>
        <w:t xml:space="preserve">Komunikacijske mjere i alati, odnosno komunikacijski pristup u cjelini, prilagođava se svakoj ciljnoj skupini, kako bi osiguralo učinkovito i pravovremeno prenošenje poruke. S obzirom da SRUP uključuje širok spektar dionika, od onih na nacionalnoj i regionalnoj razini, do dionika s lokalnog područja, osiguravanje jasnih i otvorenih komunikacijskih kanala od ključne je važnosti. Također, </w:t>
      </w:r>
      <w:r>
        <w:lastRenderedPageBreak/>
        <w:t>odgovarajući komunikacijski pristup potaknut će uključivanje ključnih dionika i osigurati mehanizam za traženje povratnih informacija i djelovanje temeljem tih informacija.</w:t>
      </w:r>
    </w:p>
    <w:p w14:paraId="63F43CDD" w14:textId="77777777" w:rsidR="00C776D1" w:rsidRDefault="00C776D1"/>
    <w:p w14:paraId="2BCFD403" w14:textId="77777777" w:rsidR="00C776D1" w:rsidRDefault="00C77FD1">
      <w:pPr>
        <w:pStyle w:val="Heading1"/>
        <w:ind w:left="0"/>
      </w:pPr>
      <w:bookmarkStart w:id="4" w:name="_Toc97556651"/>
      <w:r>
        <w:t>5. Medijska strategija</w:t>
      </w:r>
      <w:bookmarkEnd w:id="4"/>
    </w:p>
    <w:p w14:paraId="5F0535E1" w14:textId="77777777" w:rsidR="00C776D1" w:rsidRDefault="00C776D1"/>
    <w:p w14:paraId="65F0DAD1" w14:textId="77777777" w:rsidR="00C776D1" w:rsidRDefault="00C77FD1">
      <w:r>
        <w:t>Grad središte urbanog područja i nositelj izrade SRUP-a, Grad Slavonski Brod, prilikom komuniciranja aktivnosti i informacija koristit će jasne, transparentne i nedvosmislene kanale, primjenjujući pritom proaktivni komunikacijski pristup. Ovom komunikacijskom strategijom prepoznati su ključni komunikacijski kanali, ovisno radi li se o unutarnjoj, medijskoj ili općoj komunikaciji.</w:t>
      </w:r>
    </w:p>
    <w:p w14:paraId="64077B36" w14:textId="77777777" w:rsidR="00C776D1" w:rsidRDefault="00C776D1"/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555"/>
      </w:tblGrid>
      <w:tr w:rsidR="00C776D1" w14:paraId="1446501E" w14:textId="77777777">
        <w:trPr>
          <w:trHeight w:val="420"/>
        </w:trPr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EA70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Ključni komunikacijski kanali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B6ECB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Opis</w:t>
            </w:r>
          </w:p>
        </w:tc>
      </w:tr>
      <w:tr w:rsidR="00C776D1" w14:paraId="703C6436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AD143" w14:textId="751644B3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Služben</w:t>
            </w:r>
            <w:r w:rsidR="00834BC0">
              <w:rPr>
                <w:b/>
                <w:color w:val="274162"/>
                <w:sz w:val="20"/>
                <w:szCs w:val="20"/>
              </w:rPr>
              <w:t>e</w:t>
            </w:r>
            <w:r>
              <w:rPr>
                <w:b/>
                <w:color w:val="274162"/>
                <w:sz w:val="20"/>
                <w:szCs w:val="20"/>
              </w:rPr>
              <w:t xml:space="preserve"> adres</w:t>
            </w:r>
            <w:r w:rsidR="00834BC0">
              <w:rPr>
                <w:b/>
                <w:color w:val="274162"/>
                <w:sz w:val="20"/>
                <w:szCs w:val="20"/>
              </w:rPr>
              <w:t>e</w:t>
            </w:r>
            <w:r>
              <w:rPr>
                <w:b/>
                <w:color w:val="274162"/>
                <w:sz w:val="20"/>
                <w:szCs w:val="20"/>
              </w:rPr>
              <w:t xml:space="preserve"> elektroničke pošte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AE33C" w14:textId="099F3FF8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 putem adres</w:t>
            </w:r>
            <w:r w:rsidR="00B76B7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elektroničke pošte </w:t>
            </w:r>
            <w:r w:rsidR="00B76B79">
              <w:rPr>
                <w:sz w:val="20"/>
                <w:szCs w:val="20"/>
              </w:rPr>
              <w:t xml:space="preserve">službenika </w:t>
            </w:r>
            <w:r w:rsidR="00834BC0">
              <w:rPr>
                <w:sz w:val="20"/>
                <w:szCs w:val="20"/>
              </w:rPr>
              <w:t xml:space="preserve">zaposlenih u </w:t>
            </w:r>
            <w:r w:rsidR="00834BC0" w:rsidRPr="00834BC0">
              <w:rPr>
                <w:sz w:val="20"/>
                <w:szCs w:val="20"/>
              </w:rPr>
              <w:t>Upravn</w:t>
            </w:r>
            <w:r w:rsidR="00834BC0">
              <w:rPr>
                <w:sz w:val="20"/>
                <w:szCs w:val="20"/>
              </w:rPr>
              <w:t>om</w:t>
            </w:r>
            <w:r w:rsidR="00834BC0" w:rsidRPr="00834BC0">
              <w:rPr>
                <w:sz w:val="20"/>
                <w:szCs w:val="20"/>
              </w:rPr>
              <w:t xml:space="preserve"> odjel</w:t>
            </w:r>
            <w:r w:rsidR="00834BC0">
              <w:rPr>
                <w:sz w:val="20"/>
                <w:szCs w:val="20"/>
              </w:rPr>
              <w:t>u</w:t>
            </w:r>
            <w:r w:rsidR="00834BC0" w:rsidRPr="00834BC0">
              <w:rPr>
                <w:sz w:val="20"/>
                <w:szCs w:val="20"/>
              </w:rPr>
              <w:t xml:space="preserve"> za integrirana teritorijalna ulaganja</w:t>
            </w:r>
            <w:r w:rsidR="00834BC0">
              <w:rPr>
                <w:sz w:val="20"/>
                <w:szCs w:val="20"/>
              </w:rPr>
              <w:t xml:space="preserve"> Grada</w:t>
            </w:r>
            <w:r>
              <w:rPr>
                <w:sz w:val="20"/>
                <w:szCs w:val="20"/>
              </w:rPr>
              <w:t xml:space="preserve"> Slavonsk</w:t>
            </w:r>
            <w:r w:rsidR="00834BC0">
              <w:rPr>
                <w:sz w:val="20"/>
                <w:szCs w:val="20"/>
              </w:rPr>
              <w:t>og</w:t>
            </w:r>
            <w:r>
              <w:rPr>
                <w:sz w:val="20"/>
                <w:szCs w:val="20"/>
              </w:rPr>
              <w:t xml:space="preserve"> Brod</w:t>
            </w:r>
            <w:r w:rsidR="00834BC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</w:t>
            </w:r>
            <w:r w:rsidR="00834BC0">
              <w:rPr>
                <w:sz w:val="20"/>
                <w:szCs w:val="20"/>
              </w:rPr>
              <w:t xml:space="preserve"> a koji ima ulogu tehničkog tajništva.</w:t>
            </w:r>
            <w:r>
              <w:rPr>
                <w:sz w:val="20"/>
                <w:szCs w:val="20"/>
              </w:rPr>
              <w:t xml:space="preserve"> </w:t>
            </w:r>
            <w:r w:rsidR="00834BC0">
              <w:rPr>
                <w:sz w:val="20"/>
                <w:szCs w:val="20"/>
              </w:rPr>
              <w:t xml:space="preserve">Navedene adrese </w:t>
            </w:r>
            <w:r>
              <w:rPr>
                <w:sz w:val="20"/>
                <w:szCs w:val="20"/>
              </w:rPr>
              <w:t>korist</w:t>
            </w:r>
            <w:r w:rsidR="00834BC0">
              <w:rPr>
                <w:sz w:val="20"/>
                <w:szCs w:val="20"/>
              </w:rPr>
              <w:t>e se</w:t>
            </w:r>
            <w:r>
              <w:rPr>
                <w:sz w:val="20"/>
                <w:szCs w:val="20"/>
              </w:rPr>
              <w:t xml:space="preserve"> za redovitu i službenu komunikaciju dionika, bilo da se radi o službenoj unutarnjoj komunikaciji između dionika koji sudjeluju u procesu izrade i provedbe SRUP-a, bilo da se radi o komunikaciji s vanjskim dionicima, medijima i građanima. Sastavit će se mailing lista ključnih aktera kojima će se redovito prosljeđivati najvažnije informacije</w:t>
            </w:r>
          </w:p>
        </w:tc>
      </w:tr>
      <w:tr w:rsidR="00C776D1" w14:paraId="4F0316EC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D6FA4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Službena web stranica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0C283" w14:textId="75C9CCBF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 putem službene web stranice (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https://www.slavonski-brod.hr</w:t>
              </w:r>
            </w:hyperlink>
            <w:r>
              <w:rPr>
                <w:sz w:val="20"/>
                <w:szCs w:val="20"/>
              </w:rPr>
              <w:t xml:space="preserve">)  vezana uz izradu i provedbu SRUP-a, provodit će se kroz postojeću pod stranicu naziva ITU Mehanizam </w:t>
            </w:r>
            <w:r w:rsidR="00834BC0">
              <w:rPr>
                <w:sz w:val="20"/>
                <w:szCs w:val="20"/>
              </w:rPr>
              <w:t xml:space="preserve">2021. – 2027. </w:t>
            </w:r>
            <w:r>
              <w:rPr>
                <w:sz w:val="20"/>
                <w:szCs w:val="20"/>
              </w:rPr>
              <w:t>u svrhu pružanja informacija vezanih za cjelokupni proces. Službena web stranica polazna je točka za sve relevantne informacije, kako u procesu izrade, tako i u procesu provedbe SRUP-a, za sve ključne dionike i zainteresiranu javnost</w:t>
            </w:r>
          </w:p>
        </w:tc>
      </w:tr>
      <w:tr w:rsidR="00C776D1" w14:paraId="64E40162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334D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Društvene mreže grada središta Urbanog područja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E5B5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 putem društvenih mreža izravno s javnosti i prenošenje objava s drugih digitalnih komunikacijskih sredstava putem društvenih mreža s ciljem multiplikacije namjeravanih komunikacijskih učinaka</w:t>
            </w:r>
          </w:p>
        </w:tc>
      </w:tr>
      <w:tr w:rsidR="00C776D1" w14:paraId="5DE7E507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5FD72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Ostali digitalni kanali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8C705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ostalih digitalnih kanala odnosi se na provođenje ciljanih i osmišljenih medijskih kampanja, oglašavanje i sudjelovanje u medijima, izdavanje priopćenja za medije i slično</w:t>
            </w:r>
          </w:p>
        </w:tc>
      </w:tr>
      <w:tr w:rsidR="00C776D1" w14:paraId="3D4D83E5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320F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Tradicionalni komunikacijski kanali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F2E3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 koji su usko vezani uz tradicionalne medijske forme (novinski članci u tisku, na portalima, radio i TV emisije) u svrhu prenošenja ključnih poruka prema ciljnim skupinama koje o istima nisu informirane gore navedenim kanalima. Ova vrsta oglašavanja i komunikacije bit će posebno planirana i usmjerena u one aktivnosti koje zahtijevaju takvu vrstu kanala</w:t>
            </w:r>
          </w:p>
        </w:tc>
      </w:tr>
      <w:tr w:rsidR="00C776D1" w14:paraId="53F09D6C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C8B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Javno savjetovanje sa zainteresiranom javnošću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55312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Komunikacijski je alat usmjeren prema široj javnosti s ciljem prikupljanja informacija o njihovim stavovima i prijedlozima. Omogućava prikupljanje širokog spektra informacija i podataka i osigurava visoku razinu razumijevanja akta strateškog planiranja</w:t>
            </w:r>
          </w:p>
        </w:tc>
      </w:tr>
      <w:tr w:rsidR="00C776D1" w14:paraId="249FB916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427CD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 xml:space="preserve">Radionice, radni sastanci, savjetovanja i </w:t>
            </w:r>
            <w:r>
              <w:rPr>
                <w:b/>
                <w:color w:val="274162"/>
                <w:sz w:val="20"/>
                <w:szCs w:val="20"/>
              </w:rPr>
              <w:lastRenderedPageBreak/>
              <w:t>terenski obilasci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7CF11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Riječ je o komunikacijskim alatima, odnosno metodama, prije svega vezanim uz komunikaciju i razmjenu informacija internih dionika, ključnih za izradu i </w:t>
            </w:r>
            <w:r>
              <w:rPr>
                <w:sz w:val="20"/>
                <w:szCs w:val="20"/>
              </w:rPr>
              <w:lastRenderedPageBreak/>
              <w:t>provedbu SRUP-a</w:t>
            </w:r>
          </w:p>
        </w:tc>
      </w:tr>
      <w:tr w:rsidR="00C776D1" w14:paraId="7CFED959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C48DA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lastRenderedPageBreak/>
              <w:t>Događanja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8E18" w14:textId="5C3ADEA9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Odnosi se na javno predstavljanje Strategije, održavanje informativnih događanja i drugih oblika direktne komunikacije sa zainteresiranom javnošću kao što su konferencije za medije, okrugli stolovi i radionice sa releva</w:t>
            </w:r>
            <w:r w:rsidR="000F690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tnim ciljnim skupinama</w:t>
            </w:r>
          </w:p>
        </w:tc>
      </w:tr>
      <w:tr w:rsidR="00C776D1" w14:paraId="29E7BEA7" w14:textId="77777777">
        <w:tc>
          <w:tcPr>
            <w:tcW w:w="244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53918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Promidžbeni materijali</w:t>
            </w:r>
          </w:p>
        </w:tc>
        <w:tc>
          <w:tcPr>
            <w:tcW w:w="655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C4109" w14:textId="0AA9E719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Kako bi se osigurala vidljivost i upoznatost svih ključnih dionika s elementima strategije razvoja urbanog područja izradit će se promidžbeni materijali i osigurati njihova dostupnost</w:t>
            </w:r>
            <w:r w:rsidR="00834BC0">
              <w:rPr>
                <w:sz w:val="20"/>
                <w:szCs w:val="20"/>
              </w:rPr>
              <w:t>.</w:t>
            </w:r>
          </w:p>
        </w:tc>
      </w:tr>
    </w:tbl>
    <w:p w14:paraId="3A89D1FA" w14:textId="77777777" w:rsidR="00C776D1" w:rsidRDefault="00C776D1">
      <w:pPr>
        <w:ind w:left="720"/>
      </w:pPr>
    </w:p>
    <w:p w14:paraId="54493E55" w14:textId="77777777" w:rsidR="00C776D1" w:rsidRDefault="00C77FD1">
      <w:pPr>
        <w:pStyle w:val="Heading1"/>
        <w:ind w:left="0"/>
      </w:pPr>
      <w:bookmarkStart w:id="5" w:name="_Toc97556652"/>
      <w:r>
        <w:t>7. Ključne poruke</w:t>
      </w:r>
      <w:bookmarkEnd w:id="5"/>
    </w:p>
    <w:p w14:paraId="18E92CE8" w14:textId="77777777" w:rsidR="00C776D1" w:rsidRDefault="00C776D1">
      <w:pPr>
        <w:ind w:left="720"/>
      </w:pPr>
    </w:p>
    <w:p w14:paraId="446C7495" w14:textId="77777777" w:rsidR="00C776D1" w:rsidRDefault="00C77FD1">
      <w:r>
        <w:t>Ključne poruke prilagođavaju se komunikacijskim aktivnostima, ciljnim skupinama i formatima kojima se komuniciraju. Ključni dionici komunicirat će iste ključne poruke, niže navedene, kako bi ciljne skupine dobile ujednačenu sliku.</w:t>
      </w:r>
    </w:p>
    <w:p w14:paraId="0FC149BB" w14:textId="77777777" w:rsidR="00C776D1" w:rsidRDefault="00C776D1"/>
    <w:p w14:paraId="053636FF" w14:textId="77777777" w:rsidR="00C776D1" w:rsidRDefault="00C77FD1">
      <w:pPr>
        <w:numPr>
          <w:ilvl w:val="0"/>
          <w:numId w:val="2"/>
        </w:numPr>
      </w:pPr>
      <w:r>
        <w:t xml:space="preserve">SRUP definira zajedničke smjerove razvoja cijelog urbanog područja, predlaže zajedničke pravce djelovanja i olakšava provedbu zajedničkih projekata, odnosno ima “zajedničku stratešku viziju” koja nadilazi administrativne granice i stvara sinergiju koja koristi urbanom području u cjelini. </w:t>
      </w:r>
    </w:p>
    <w:p w14:paraId="10B380B5" w14:textId="77777777" w:rsidR="00834BC0" w:rsidRDefault="00834BC0">
      <w:pPr>
        <w:numPr>
          <w:ilvl w:val="0"/>
          <w:numId w:val="2"/>
        </w:numPr>
      </w:pPr>
      <w:r w:rsidRPr="00834BC0">
        <w:t>Participativnost u procesu izrade i provedbe SRUP-a ključno je za jačanje uloge Grada Slavonskog Broda kao pokretača gospodarskog razvoja te pripadajućeg funkcionalnog urbanog područja.</w:t>
      </w:r>
    </w:p>
    <w:p w14:paraId="719B1F23" w14:textId="091F4C01" w:rsidR="00C776D1" w:rsidRDefault="00C77FD1">
      <w:pPr>
        <w:numPr>
          <w:ilvl w:val="0"/>
          <w:numId w:val="2"/>
        </w:numPr>
      </w:pPr>
      <w:r>
        <w:t>Strategija razvoja urbanog područja kao multi-sektorski strateški okvir kojim se planira razvoj urbanog područja osnovni je temelj funkcionalnog urbanog razvoja.</w:t>
      </w:r>
    </w:p>
    <w:p w14:paraId="67067793" w14:textId="77777777" w:rsidR="00C776D1" w:rsidRDefault="00C776D1"/>
    <w:p w14:paraId="7E2637F6" w14:textId="77777777" w:rsidR="00C776D1" w:rsidRDefault="00C77FD1">
      <w:pPr>
        <w:pStyle w:val="Heading1"/>
        <w:ind w:left="0"/>
      </w:pPr>
      <w:bookmarkStart w:id="6" w:name="_Toc97556653"/>
      <w:r>
        <w:t>6. Očekivani rezultati</w:t>
      </w:r>
      <w:bookmarkEnd w:id="6"/>
    </w:p>
    <w:p w14:paraId="1B3DD859" w14:textId="77777777" w:rsidR="00C776D1" w:rsidRDefault="00C776D1">
      <w:pPr>
        <w:ind w:left="720"/>
      </w:pPr>
    </w:p>
    <w:p w14:paraId="2EA18B1A" w14:textId="702CEE33" w:rsidR="00C776D1" w:rsidRDefault="00C77FD1">
      <w:r>
        <w:t>Kako bi se utvrdilo u kojoj mjeri su definirane komunikacijske aktivnosti provedene, a postavljeni komunikacijski ciljevi realizirani, Grad Slavonski Brod je odgovoran za praćenje i vrednovanje provedbe Komunikacijske strategije</w:t>
      </w:r>
      <w:r w:rsidR="00834BC0">
        <w:t>.</w:t>
      </w:r>
    </w:p>
    <w:p w14:paraId="066223D7" w14:textId="77777777" w:rsidR="00C776D1" w:rsidRDefault="00C776D1"/>
    <w:tbl>
      <w:tblPr>
        <w:tblStyle w:val="ac"/>
        <w:tblW w:w="9030" w:type="dxa"/>
        <w:jc w:val="center"/>
        <w:tblInd w:w="0" w:type="dxa"/>
        <w:tblBorders>
          <w:top w:val="single" w:sz="8" w:space="0" w:color="157AC0"/>
          <w:left w:val="single" w:sz="8" w:space="0" w:color="157AC0"/>
          <w:bottom w:val="single" w:sz="8" w:space="0" w:color="157AC0"/>
          <w:right w:val="single" w:sz="8" w:space="0" w:color="157AC0"/>
          <w:insideH w:val="single" w:sz="8" w:space="0" w:color="157AC0"/>
          <w:insideV w:val="single" w:sz="8" w:space="0" w:color="157AC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720"/>
        <w:gridCol w:w="2505"/>
      </w:tblGrid>
      <w:tr w:rsidR="00C776D1" w14:paraId="7F6F8E09" w14:textId="77777777" w:rsidTr="003666D5">
        <w:trPr>
          <w:trHeight w:val="135"/>
          <w:tblHeader/>
          <w:jc w:val="center"/>
        </w:trPr>
        <w:tc>
          <w:tcPr>
            <w:tcW w:w="28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595D7" w14:textId="77777777" w:rsidR="00C776D1" w:rsidRDefault="00C77FD1">
            <w:pPr>
              <w:widowControl w:val="0"/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Komunikacijska aktivnost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255C9" w14:textId="77777777" w:rsidR="00C776D1" w:rsidRDefault="00C77FD1">
            <w:pPr>
              <w:widowControl w:val="0"/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Pokazatelj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1E372" w14:textId="77777777" w:rsidR="00C776D1" w:rsidRDefault="00C77FD1">
            <w:pPr>
              <w:widowControl w:val="0"/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 xml:space="preserve">Očekivani rezultat </w:t>
            </w:r>
          </w:p>
        </w:tc>
      </w:tr>
      <w:tr w:rsidR="00C776D1" w14:paraId="65E5C639" w14:textId="77777777">
        <w:trPr>
          <w:trHeight w:val="420"/>
          <w:jc w:val="center"/>
        </w:trPr>
        <w:tc>
          <w:tcPr>
            <w:tcW w:w="2805" w:type="dxa"/>
            <w:vMerge w:val="restart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vAlign w:val="center"/>
          </w:tcPr>
          <w:p w14:paraId="52B76B34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Informiranje putem elektroničke pošte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87DE2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primljenih upita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238B2" w14:textId="77777777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10 (godišnje)</w:t>
            </w:r>
          </w:p>
        </w:tc>
      </w:tr>
      <w:tr w:rsidR="00C776D1" w14:paraId="12944977" w14:textId="77777777">
        <w:trPr>
          <w:trHeight w:val="420"/>
          <w:jc w:val="center"/>
        </w:trPr>
        <w:tc>
          <w:tcPr>
            <w:tcW w:w="2805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27670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67897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Postotak odgovorenih upita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CDA6D" w14:textId="77777777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95% (ukupno)</w:t>
            </w:r>
          </w:p>
        </w:tc>
      </w:tr>
      <w:tr w:rsidR="00C776D1" w14:paraId="1022E34F" w14:textId="77777777">
        <w:trPr>
          <w:trHeight w:val="420"/>
          <w:jc w:val="center"/>
        </w:trPr>
        <w:tc>
          <w:tcPr>
            <w:tcW w:w="2805" w:type="dxa"/>
            <w:vMerge w:val="restart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vAlign w:val="center"/>
          </w:tcPr>
          <w:p w14:paraId="5DD317BF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Informiranje putem službenih web stranica 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2D91A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objava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F5E56" w14:textId="1724BD38" w:rsidR="00C776D1" w:rsidRPr="00174AC4" w:rsidRDefault="006001DA" w:rsidP="003666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5</w:t>
            </w:r>
            <w:r w:rsidR="00B10E1E" w:rsidRPr="00174AC4">
              <w:rPr>
                <w:sz w:val="20"/>
                <w:szCs w:val="20"/>
              </w:rPr>
              <w:t xml:space="preserve"> </w:t>
            </w:r>
            <w:r w:rsidR="00C77FD1" w:rsidRPr="00174AC4">
              <w:rPr>
                <w:sz w:val="20"/>
                <w:szCs w:val="20"/>
              </w:rPr>
              <w:t>(godišnje)</w:t>
            </w:r>
          </w:p>
        </w:tc>
      </w:tr>
      <w:tr w:rsidR="00C776D1" w14:paraId="4F2FABF3" w14:textId="77777777">
        <w:trPr>
          <w:trHeight w:val="420"/>
          <w:jc w:val="center"/>
        </w:trPr>
        <w:tc>
          <w:tcPr>
            <w:tcW w:w="2805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70DEA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9708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posjeta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8039F" w14:textId="25943EC8" w:rsidR="00C776D1" w:rsidRPr="00174AC4" w:rsidRDefault="006001D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750</w:t>
            </w:r>
            <w:r w:rsidR="00C77FD1" w:rsidRPr="00174AC4">
              <w:rPr>
                <w:sz w:val="20"/>
                <w:szCs w:val="20"/>
              </w:rPr>
              <w:t xml:space="preserve"> (godišnje)</w:t>
            </w:r>
          </w:p>
        </w:tc>
      </w:tr>
      <w:tr w:rsidR="00C776D1" w14:paraId="49F8FE06" w14:textId="77777777">
        <w:trPr>
          <w:trHeight w:val="420"/>
          <w:jc w:val="center"/>
        </w:trPr>
        <w:tc>
          <w:tcPr>
            <w:tcW w:w="28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642A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Informiranje putem društvenih mreža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385C3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objava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F4FE6" w14:textId="4890CF30" w:rsidR="00C776D1" w:rsidRPr="00174AC4" w:rsidRDefault="002811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5</w:t>
            </w:r>
            <w:r w:rsidR="00B10E1E" w:rsidRPr="00174AC4">
              <w:rPr>
                <w:sz w:val="20"/>
                <w:szCs w:val="20"/>
              </w:rPr>
              <w:t xml:space="preserve"> </w:t>
            </w:r>
            <w:r w:rsidR="00C77FD1" w:rsidRPr="00174AC4">
              <w:rPr>
                <w:sz w:val="20"/>
                <w:szCs w:val="20"/>
              </w:rPr>
              <w:t>(godišnje)</w:t>
            </w:r>
          </w:p>
        </w:tc>
      </w:tr>
      <w:tr w:rsidR="00C776D1" w14:paraId="391E05CA" w14:textId="77777777">
        <w:trPr>
          <w:trHeight w:val="420"/>
          <w:jc w:val="center"/>
        </w:trPr>
        <w:tc>
          <w:tcPr>
            <w:tcW w:w="2805" w:type="dxa"/>
            <w:vMerge w:val="restart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6135A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Koordinacijski i radni sastanci ključnih internih dionika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16877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održanih sastanaka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19857" w14:textId="77777777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5 (godišnje)</w:t>
            </w:r>
          </w:p>
        </w:tc>
      </w:tr>
      <w:tr w:rsidR="00C776D1" w14:paraId="3AA07321" w14:textId="77777777">
        <w:trPr>
          <w:trHeight w:val="420"/>
          <w:jc w:val="center"/>
        </w:trPr>
        <w:tc>
          <w:tcPr>
            <w:tcW w:w="2805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0FB76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BB8FB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održanih radionica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44A3A" w14:textId="4BDB33BF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2 (</w:t>
            </w:r>
            <w:r w:rsidR="00B10E1E" w:rsidRPr="00174AC4">
              <w:rPr>
                <w:sz w:val="20"/>
                <w:szCs w:val="20"/>
              </w:rPr>
              <w:t>ukupno</w:t>
            </w:r>
            <w:r w:rsidRPr="00174AC4">
              <w:rPr>
                <w:sz w:val="20"/>
                <w:szCs w:val="20"/>
              </w:rPr>
              <w:t>)</w:t>
            </w:r>
          </w:p>
        </w:tc>
      </w:tr>
      <w:tr w:rsidR="00C776D1" w14:paraId="18E4CB8D" w14:textId="77777777">
        <w:trPr>
          <w:trHeight w:val="420"/>
          <w:jc w:val="center"/>
        </w:trPr>
        <w:tc>
          <w:tcPr>
            <w:tcW w:w="2805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D8D95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D69BD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sudionika na radionicama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E64FC" w14:textId="335D0ED6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15 (</w:t>
            </w:r>
            <w:r w:rsidR="00B10E1E" w:rsidRPr="00174AC4">
              <w:rPr>
                <w:sz w:val="20"/>
                <w:szCs w:val="20"/>
              </w:rPr>
              <w:t>ukupno</w:t>
            </w:r>
            <w:r w:rsidRPr="00174AC4">
              <w:rPr>
                <w:sz w:val="20"/>
                <w:szCs w:val="20"/>
              </w:rPr>
              <w:t>)</w:t>
            </w:r>
          </w:p>
        </w:tc>
      </w:tr>
      <w:tr w:rsidR="00C776D1" w14:paraId="22F35C2E" w14:textId="77777777">
        <w:trPr>
          <w:jc w:val="center"/>
        </w:trPr>
        <w:tc>
          <w:tcPr>
            <w:tcW w:w="28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195F3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Događanja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247D1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održanih javnih događanja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1423" w14:textId="34DC944F" w:rsidR="00C776D1" w:rsidRPr="00174AC4" w:rsidRDefault="00602C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2</w:t>
            </w:r>
            <w:r w:rsidR="00C77FD1" w:rsidRPr="00174AC4">
              <w:rPr>
                <w:sz w:val="20"/>
                <w:szCs w:val="20"/>
              </w:rPr>
              <w:t xml:space="preserve"> (</w:t>
            </w:r>
            <w:r w:rsidR="00B10E1E" w:rsidRPr="00174AC4">
              <w:rPr>
                <w:sz w:val="20"/>
                <w:szCs w:val="20"/>
              </w:rPr>
              <w:t>ukupno</w:t>
            </w:r>
            <w:r w:rsidR="00C77FD1" w:rsidRPr="00174AC4">
              <w:rPr>
                <w:sz w:val="20"/>
                <w:szCs w:val="20"/>
              </w:rPr>
              <w:t>)</w:t>
            </w:r>
          </w:p>
        </w:tc>
      </w:tr>
      <w:tr w:rsidR="00C776D1" w14:paraId="1ADBCBC9" w14:textId="77777777">
        <w:trPr>
          <w:jc w:val="center"/>
        </w:trPr>
        <w:tc>
          <w:tcPr>
            <w:tcW w:w="28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425E7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medijske vidljivosti - objave u medijima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EFCEA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objava u medijima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9695D" w14:textId="022BA144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1</w:t>
            </w:r>
            <w:r w:rsidR="00602C8F" w:rsidRPr="00174AC4">
              <w:rPr>
                <w:sz w:val="20"/>
                <w:szCs w:val="20"/>
              </w:rPr>
              <w:t>2</w:t>
            </w:r>
            <w:r w:rsidRPr="00174AC4">
              <w:rPr>
                <w:sz w:val="20"/>
                <w:szCs w:val="20"/>
              </w:rPr>
              <w:t xml:space="preserve"> (godišnje)</w:t>
            </w:r>
          </w:p>
        </w:tc>
      </w:tr>
      <w:tr w:rsidR="00C776D1" w14:paraId="24BD4CBE" w14:textId="77777777">
        <w:trPr>
          <w:jc w:val="center"/>
        </w:trPr>
        <w:tc>
          <w:tcPr>
            <w:tcW w:w="28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59DEE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savjetovanje</w:t>
            </w:r>
          </w:p>
        </w:tc>
        <w:tc>
          <w:tcPr>
            <w:tcW w:w="372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8B158" w14:textId="77777777" w:rsidR="00C776D1" w:rsidRDefault="00C77FD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Provedeno javno savjetovanje Strategije razvoja urbanog područja Slavonski Brod</w:t>
            </w:r>
          </w:p>
        </w:tc>
        <w:tc>
          <w:tcPr>
            <w:tcW w:w="2505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83670" w14:textId="77777777" w:rsidR="00C776D1" w:rsidRPr="00174AC4" w:rsidRDefault="00C77F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DA (ukupno)</w:t>
            </w:r>
          </w:p>
        </w:tc>
      </w:tr>
    </w:tbl>
    <w:p w14:paraId="659E4E0C" w14:textId="77777777" w:rsidR="00C776D1" w:rsidRDefault="00C776D1">
      <w:pPr>
        <w:ind w:left="720"/>
      </w:pPr>
    </w:p>
    <w:p w14:paraId="0525074B" w14:textId="77777777" w:rsidR="00C776D1" w:rsidRDefault="00C77FD1">
      <w:pPr>
        <w:pStyle w:val="Heading1"/>
        <w:ind w:left="0"/>
      </w:pPr>
      <w:bookmarkStart w:id="7" w:name="_Toc97556654"/>
      <w:r>
        <w:t>8. Međuovisnosti</w:t>
      </w:r>
      <w:bookmarkEnd w:id="7"/>
    </w:p>
    <w:p w14:paraId="78956F0E" w14:textId="77777777" w:rsidR="00C776D1" w:rsidRDefault="00C776D1">
      <w:pPr>
        <w:ind w:left="720"/>
      </w:pPr>
    </w:p>
    <w:p w14:paraId="17D26FBD" w14:textId="77777777" w:rsidR="00C776D1" w:rsidRDefault="00C77FD1">
      <w:r>
        <w:t>Komunikacijska strategija obuhvaća planiranje i organizaciju tijekom izrade i provedbe SRUP-a u cjelini, te u tom smislu pokriva sve segmente komuniciranja s ciljnim skupinama. Sinergijska povezanost predmetne Komunikacijske strategije uočava se u aktivnostima promidžbe i vidljivosti, koje će kao obavezne aktivnosti biti provedene za svaki pojedini projekt financiran u okviru mehanizma integriranih teritorijalnih ulaganja (ITU) u Urbanom području Slavonski Brod.</w:t>
      </w:r>
    </w:p>
    <w:p w14:paraId="7F155EAD" w14:textId="77777777" w:rsidR="00C776D1" w:rsidRDefault="00C776D1"/>
    <w:p w14:paraId="71DE1BD0" w14:textId="77777777" w:rsidR="00C776D1" w:rsidRDefault="00C77FD1">
      <w:r>
        <w:t xml:space="preserve">Aktivnosti promidžbe i vidljivosti projekata sufinanciranih iz europskih strukturnih i investicijskih fondova osiguravaju da projekti (operacije) koje sufinancira Europska unija uključuju mjere informiranja i komunikacije u cilju podizanja svijesti građana Unije o ulozi i ostvarenjima kohezijske politike i fondova, kao i o rezultatima i učincima ove podrške. Mjere promidžbe i vidljivosti tako su vezane uz svaki, zasebni projektni prijedlog, odnosno njima se ne udvostručavaju komunikacijske mjere vezane uz izradu u provedbu SRUP-a definirane Strategijom, već predstavljaju sinergijski povezanu aktivnost. </w:t>
      </w:r>
    </w:p>
    <w:p w14:paraId="70DDFC43" w14:textId="77777777" w:rsidR="00C776D1" w:rsidRDefault="00C776D1"/>
    <w:p w14:paraId="0F23805E" w14:textId="77777777" w:rsidR="00C776D1" w:rsidRDefault="00C77FD1">
      <w:r>
        <w:t>Sinergijski učinak namjerava se ostvariti i korištenjem primjerenih sredstava komunikacije kako bi se osigurao maksimalan doseg ključnih poruka namijenjenim ciljnim skupinama. U tu svrhu, prilikom komuniciranja važnih poruka koristit će se više komunikacijskih sredstava za prenošenje poruka ključnim dionicima te će tako, primjerice, objavu na mrežnim stranicama, Grad središte Urbanog područja podijeliti i putem društvenih mreža osiguravajući maksimalan doseg poruke.</w:t>
      </w:r>
    </w:p>
    <w:p w14:paraId="60004A86" w14:textId="77777777" w:rsidR="00C776D1" w:rsidRDefault="00C776D1"/>
    <w:p w14:paraId="0637CF40" w14:textId="1B1CE102" w:rsidR="00C776D1" w:rsidRDefault="00C77FD1">
      <w:r>
        <w:t>Strategija će kao integralan strateški dokument Urbanog područja biti usklađena s ostalim strateškim dokumentima na županijskoj i lokalnoj razini</w:t>
      </w:r>
      <w:r w:rsidR="003666D5">
        <w:t>.</w:t>
      </w:r>
    </w:p>
    <w:p w14:paraId="26167230" w14:textId="77777777" w:rsidR="00C776D1" w:rsidRDefault="00C776D1">
      <w:pPr>
        <w:ind w:left="720"/>
      </w:pPr>
    </w:p>
    <w:p w14:paraId="46276E29" w14:textId="77777777" w:rsidR="00C776D1" w:rsidRDefault="00C77FD1">
      <w:pPr>
        <w:pStyle w:val="Heading1"/>
        <w:ind w:left="0"/>
      </w:pPr>
      <w:bookmarkStart w:id="8" w:name="_Toc97556655"/>
      <w:r>
        <w:lastRenderedPageBreak/>
        <w:t>9. Rizici i problemi</w:t>
      </w:r>
      <w:bookmarkEnd w:id="8"/>
    </w:p>
    <w:p w14:paraId="71B9E2C0" w14:textId="77777777" w:rsidR="00C776D1" w:rsidRDefault="00C776D1"/>
    <w:p w14:paraId="033CC103" w14:textId="77777777" w:rsidR="00C776D1" w:rsidRDefault="00C77FD1">
      <w:r>
        <w:t xml:space="preserve">Proces izrade i provedbe SRUP-a podrazumijeva i postojanje određenih rizika koje je moguće predvidjeti i tako spriječiti njihovu pojavu. Rizike nije moguće sa sigurnošću izbjeći, ali pravovremena identifikacija ključnih rizika, uzroka njihovog nastajanja i posljedica istih, te mjera za smanjenje mogućnosti pojave rizika, omogućava njihovo svođenje na minimalnu razinu. </w:t>
      </w:r>
    </w:p>
    <w:p w14:paraId="4CC53AE0" w14:textId="77777777" w:rsidR="00C776D1" w:rsidRDefault="00C77FD1">
      <w:r>
        <w:t xml:space="preserve">U tu svrhu, u nastavku je prikazana matrica identificiranih rizika zajedno s mjerama kojima ih je moguće neutralizirati ili ublažiti. </w:t>
      </w:r>
    </w:p>
    <w:p w14:paraId="4570725A" w14:textId="77777777" w:rsidR="00C776D1" w:rsidRDefault="00C776D1"/>
    <w:tbl>
      <w:tblPr>
        <w:tblStyle w:val="ad"/>
        <w:tblW w:w="9029" w:type="dxa"/>
        <w:tblInd w:w="0" w:type="dxa"/>
        <w:tblBorders>
          <w:top w:val="single" w:sz="8" w:space="0" w:color="157AC0"/>
          <w:left w:val="single" w:sz="8" w:space="0" w:color="157AC0"/>
          <w:bottom w:val="single" w:sz="8" w:space="0" w:color="157AC0"/>
          <w:right w:val="single" w:sz="8" w:space="0" w:color="157AC0"/>
          <w:insideH w:val="single" w:sz="8" w:space="0" w:color="157AC0"/>
          <w:insideV w:val="single" w:sz="8" w:space="0" w:color="157AC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814"/>
        <w:gridCol w:w="1815"/>
        <w:gridCol w:w="1425"/>
        <w:gridCol w:w="2160"/>
      </w:tblGrid>
      <w:tr w:rsidR="00C776D1" w14:paraId="338D2C48" w14:textId="77777777"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FC269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Rizik</w:t>
            </w:r>
          </w:p>
        </w:tc>
        <w:tc>
          <w:tcPr>
            <w:tcW w:w="1814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1F635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Uzrok</w:t>
            </w:r>
          </w:p>
        </w:tc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F34B5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Negativni učinak</w:t>
            </w:r>
          </w:p>
        </w:tc>
        <w:tc>
          <w:tcPr>
            <w:tcW w:w="142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5DB7F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Vjerojatnost</w:t>
            </w:r>
          </w:p>
        </w:tc>
        <w:tc>
          <w:tcPr>
            <w:tcW w:w="2160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2658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Prevencija/mjere ublažavanja</w:t>
            </w:r>
          </w:p>
        </w:tc>
      </w:tr>
      <w:tr w:rsidR="00C776D1" w14:paraId="0C3F1277" w14:textId="77777777"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889E4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 xml:space="preserve">Povećanje troškova provedbe komunikacijskih aktivnosti </w:t>
            </w:r>
          </w:p>
        </w:tc>
        <w:tc>
          <w:tcPr>
            <w:tcW w:w="1814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ED175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strategije nemaju točno utvrđene troškove</w:t>
            </w:r>
          </w:p>
        </w:tc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66957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Pojava neplaniranih troškova</w:t>
            </w:r>
          </w:p>
        </w:tc>
        <w:tc>
          <w:tcPr>
            <w:tcW w:w="142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427EB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</w:t>
            </w:r>
          </w:p>
        </w:tc>
        <w:tc>
          <w:tcPr>
            <w:tcW w:w="2160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18C5" w14:textId="437BB3BE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Pravovremena prilagodba</w:t>
            </w:r>
            <w:r w:rsidR="00174A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komunikacijskog akcijskog plana</w:t>
            </w:r>
          </w:p>
        </w:tc>
      </w:tr>
      <w:tr w:rsidR="00C776D1" w14:paraId="6EAF4735" w14:textId="77777777"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40AF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Mala zainteresiranost ciljnih skupina</w:t>
            </w:r>
          </w:p>
        </w:tc>
        <w:tc>
          <w:tcPr>
            <w:tcW w:w="1814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668C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Nedovoljno segmentirane ciljne skupine </w:t>
            </w:r>
          </w:p>
        </w:tc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D434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Nedovoljna uključenost ciljnih skupina u izradu i provedbu SRUP-a, što umanjuje kvalitetu istog</w:t>
            </w:r>
          </w:p>
        </w:tc>
        <w:tc>
          <w:tcPr>
            <w:tcW w:w="142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9BC4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</w:t>
            </w:r>
          </w:p>
        </w:tc>
        <w:tc>
          <w:tcPr>
            <w:tcW w:w="2160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7C076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Kako ne bi došlo do malog interesa ciljnih skupina potrebno je redovito prilagođavati komunikacijske alate i aktivnosti i usmjeravati ih prema segmentiranim ciljnim skupinama</w:t>
            </w:r>
          </w:p>
        </w:tc>
      </w:tr>
      <w:tr w:rsidR="00C776D1" w14:paraId="57AFDD92" w14:textId="77777777"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B9C0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Promjena prioriteta SRUP-a</w:t>
            </w:r>
          </w:p>
        </w:tc>
        <w:tc>
          <w:tcPr>
            <w:tcW w:w="1814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CFE5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Evoluirajuća priroda brojnih područja politika obuhvaćenih SRUP-om</w:t>
            </w:r>
          </w:p>
        </w:tc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58AD3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Promjene u područjima politika generiraju i nužne potrebe u promjenama komunikacijskih aktivnosti</w:t>
            </w:r>
          </w:p>
        </w:tc>
        <w:tc>
          <w:tcPr>
            <w:tcW w:w="142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B7DD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Niska</w:t>
            </w:r>
          </w:p>
        </w:tc>
        <w:tc>
          <w:tcPr>
            <w:tcW w:w="2160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96D9" w14:textId="7CCF87BF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 ne bi došlo do promjene prioriteta SRUP-a, inzistirati će se </w:t>
            </w:r>
            <w:r w:rsidR="007055C4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participativnosti ciljnih skupina u procesu i ispravnoj identifikaciji prioriteta, te osigurati usklađivanje s strateškim aktima na višim razinama</w:t>
            </w:r>
          </w:p>
        </w:tc>
      </w:tr>
      <w:tr w:rsidR="00C776D1" w14:paraId="19A056E6" w14:textId="77777777"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4029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Komunikacijski kanali neprimjereni ciljanim skupinama</w:t>
            </w:r>
          </w:p>
        </w:tc>
        <w:tc>
          <w:tcPr>
            <w:tcW w:w="1814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4C29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Odabir komunikacijskog kanala kojim se ciljana skupina ne koristi ili s kojim nije upoznata</w:t>
            </w:r>
          </w:p>
        </w:tc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AAD65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Nekvalitetno komuniciranje namjeravane poruke i izostanak namjeravanog učinka</w:t>
            </w:r>
          </w:p>
        </w:tc>
        <w:tc>
          <w:tcPr>
            <w:tcW w:w="142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AC38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Niska</w:t>
            </w:r>
          </w:p>
        </w:tc>
        <w:tc>
          <w:tcPr>
            <w:tcW w:w="2160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B31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ciljem preveniranja odabira neprimjerenih komunikacijskih kanala, jasno će se definirati komunikacijski kanali za svaku ciljnu skupinu dionika</w:t>
            </w:r>
          </w:p>
        </w:tc>
      </w:tr>
      <w:tr w:rsidR="00C776D1" w14:paraId="17E65F7B" w14:textId="77777777"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7698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Izostanak transparentnosti</w:t>
            </w:r>
          </w:p>
        </w:tc>
        <w:tc>
          <w:tcPr>
            <w:tcW w:w="1814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C722C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Neažurna objava propisanih informacija putem </w:t>
            </w:r>
            <w:r>
              <w:rPr>
                <w:sz w:val="20"/>
                <w:szCs w:val="20"/>
              </w:rPr>
              <w:lastRenderedPageBreak/>
              <w:t>za to predviđenih komunikacijskih kanala</w:t>
            </w:r>
          </w:p>
        </w:tc>
        <w:tc>
          <w:tcPr>
            <w:tcW w:w="181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4CA5D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Narušavanje povjerenja u ključne dionike i </w:t>
            </w:r>
            <w:r>
              <w:rPr>
                <w:sz w:val="20"/>
                <w:szCs w:val="20"/>
              </w:rPr>
              <w:lastRenderedPageBreak/>
              <w:t>povećanje negativnog dojma u javnosti</w:t>
            </w:r>
          </w:p>
        </w:tc>
        <w:tc>
          <w:tcPr>
            <w:tcW w:w="1425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43D76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Srednja</w:t>
            </w:r>
          </w:p>
        </w:tc>
        <w:tc>
          <w:tcPr>
            <w:tcW w:w="2160" w:type="dxa"/>
            <w:tcBorders>
              <w:top w:val="single" w:sz="4" w:space="0" w:color="274162"/>
              <w:left w:val="single" w:sz="4" w:space="0" w:color="274162"/>
              <w:bottom w:val="single" w:sz="4" w:space="0" w:color="274162"/>
              <w:right w:val="single" w:sz="4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68C05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svrhu sprječavanja negativnog dojma i uspostave </w:t>
            </w:r>
            <w:r>
              <w:rPr>
                <w:sz w:val="20"/>
                <w:szCs w:val="20"/>
              </w:rPr>
              <w:lastRenderedPageBreak/>
              <w:t>transparentnog procesa, sve relevantne informacije i dokumenti ažurno će se objavljivati putem za to predviđenih komunikacijskih kanala te o istome izvještavati javnost</w:t>
            </w:r>
          </w:p>
        </w:tc>
      </w:tr>
    </w:tbl>
    <w:p w14:paraId="7BE9A5FB" w14:textId="77777777" w:rsidR="00C776D1" w:rsidRDefault="00C776D1">
      <w:pPr>
        <w:pStyle w:val="Heading1"/>
        <w:ind w:left="0"/>
      </w:pPr>
    </w:p>
    <w:p w14:paraId="4D918625" w14:textId="77777777" w:rsidR="00C776D1" w:rsidRDefault="00C77FD1">
      <w:pPr>
        <w:pStyle w:val="Heading1"/>
        <w:ind w:left="0"/>
      </w:pPr>
      <w:bookmarkStart w:id="9" w:name="_Toc97556656"/>
      <w:r>
        <w:t>10. Ocjenjivanje</w:t>
      </w:r>
      <w:bookmarkEnd w:id="9"/>
    </w:p>
    <w:p w14:paraId="62D40BF0" w14:textId="77777777" w:rsidR="00C776D1" w:rsidRDefault="00C776D1"/>
    <w:p w14:paraId="7BDACF80" w14:textId="2BE40609" w:rsidR="00C776D1" w:rsidRDefault="003666D5">
      <w:r>
        <w:t>Grad Slavonski Brod je odgovoran za praćenje i vrednovanje provedbe Komunikacijske strategije</w:t>
      </w:r>
      <w:r w:rsidR="0092781E">
        <w:t>. Praćenje i vrednovanje provoditi će se sukladno niže navedenim aktivnostima i pokazateljima.</w:t>
      </w:r>
    </w:p>
    <w:p w14:paraId="14574F20" w14:textId="77777777" w:rsidR="00C776D1" w:rsidRDefault="00C776D1"/>
    <w:tbl>
      <w:tblPr>
        <w:tblStyle w:val="ae"/>
        <w:tblW w:w="9000" w:type="dxa"/>
        <w:tblInd w:w="0" w:type="dxa"/>
        <w:tblBorders>
          <w:top w:val="single" w:sz="8" w:space="0" w:color="157AC0"/>
          <w:left w:val="single" w:sz="8" w:space="0" w:color="157AC0"/>
          <w:bottom w:val="single" w:sz="8" w:space="0" w:color="157AC0"/>
          <w:right w:val="single" w:sz="8" w:space="0" w:color="157AC0"/>
          <w:insideH w:val="single" w:sz="8" w:space="0" w:color="157AC0"/>
          <w:insideV w:val="single" w:sz="8" w:space="0" w:color="157AC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470"/>
      </w:tblGrid>
      <w:tr w:rsidR="00C776D1" w14:paraId="33EB7BDF" w14:textId="77777777">
        <w:trPr>
          <w:trHeight w:val="420"/>
        </w:trPr>
        <w:tc>
          <w:tcPr>
            <w:tcW w:w="453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32835" w14:textId="77777777" w:rsidR="00C776D1" w:rsidRDefault="00C77FD1">
            <w:pPr>
              <w:widowControl w:val="0"/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Komunikacijska aktivnost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A7230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Pokazatelj</w:t>
            </w:r>
          </w:p>
        </w:tc>
      </w:tr>
      <w:tr w:rsidR="00C776D1" w14:paraId="616C8A0C" w14:textId="77777777">
        <w:trPr>
          <w:trHeight w:val="420"/>
        </w:trPr>
        <w:tc>
          <w:tcPr>
            <w:tcW w:w="4530" w:type="dxa"/>
            <w:vMerge w:val="restart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vAlign w:val="center"/>
          </w:tcPr>
          <w:p w14:paraId="7B6B8700" w14:textId="77777777" w:rsidR="00C776D1" w:rsidRDefault="00C77FD1">
            <w:pPr>
              <w:widowControl w:val="0"/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Informiranje putem elektroničke pošte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71564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primljenih upita</w:t>
            </w:r>
          </w:p>
        </w:tc>
      </w:tr>
      <w:tr w:rsidR="00C776D1" w14:paraId="75F51A89" w14:textId="77777777">
        <w:trPr>
          <w:trHeight w:val="420"/>
        </w:trPr>
        <w:tc>
          <w:tcPr>
            <w:tcW w:w="4530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8DDB5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E1915" w14:textId="088C1B1C" w:rsidR="00C776D1" w:rsidRPr="00174AC4" w:rsidRDefault="00B1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Postotak odgovorenih upita</w:t>
            </w:r>
          </w:p>
        </w:tc>
      </w:tr>
      <w:tr w:rsidR="00C776D1" w14:paraId="2604A23E" w14:textId="77777777">
        <w:trPr>
          <w:trHeight w:val="420"/>
        </w:trPr>
        <w:tc>
          <w:tcPr>
            <w:tcW w:w="4530" w:type="dxa"/>
            <w:vMerge w:val="restart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vAlign w:val="center"/>
          </w:tcPr>
          <w:p w14:paraId="5707E6CA" w14:textId="77777777" w:rsidR="00C776D1" w:rsidRDefault="00C77FD1">
            <w:pPr>
              <w:widowControl w:val="0"/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 xml:space="preserve">Informiranje putem službenih web stranica 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DB84F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objava</w:t>
            </w:r>
          </w:p>
        </w:tc>
      </w:tr>
      <w:tr w:rsidR="00C776D1" w14:paraId="0BED2BD9" w14:textId="77777777">
        <w:trPr>
          <w:trHeight w:val="420"/>
        </w:trPr>
        <w:tc>
          <w:tcPr>
            <w:tcW w:w="4530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0DB73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F83B9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posjeta</w:t>
            </w:r>
          </w:p>
        </w:tc>
      </w:tr>
      <w:tr w:rsidR="00C776D1" w14:paraId="61B3F2B3" w14:textId="77777777">
        <w:trPr>
          <w:trHeight w:val="420"/>
        </w:trPr>
        <w:tc>
          <w:tcPr>
            <w:tcW w:w="453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7DCEE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Informiranje putem društvenih mreža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359AC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objava</w:t>
            </w:r>
          </w:p>
        </w:tc>
      </w:tr>
      <w:tr w:rsidR="00C776D1" w14:paraId="7A53E71F" w14:textId="77777777">
        <w:trPr>
          <w:trHeight w:val="420"/>
        </w:trPr>
        <w:tc>
          <w:tcPr>
            <w:tcW w:w="4530" w:type="dxa"/>
            <w:vMerge w:val="restart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2A75A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Koordinacijski i radni sastanci ključnih internih dionika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AF7DD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održanih sastanaka</w:t>
            </w:r>
          </w:p>
        </w:tc>
      </w:tr>
      <w:tr w:rsidR="00C776D1" w14:paraId="204B71C9" w14:textId="77777777">
        <w:trPr>
          <w:trHeight w:val="420"/>
        </w:trPr>
        <w:tc>
          <w:tcPr>
            <w:tcW w:w="4530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68A9E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0C110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održanih radionica</w:t>
            </w:r>
          </w:p>
        </w:tc>
      </w:tr>
      <w:tr w:rsidR="00C776D1" w14:paraId="2BBDDC0B" w14:textId="77777777">
        <w:trPr>
          <w:trHeight w:val="420"/>
        </w:trPr>
        <w:tc>
          <w:tcPr>
            <w:tcW w:w="4530" w:type="dxa"/>
            <w:vMerge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8DFE0" w14:textId="77777777" w:rsidR="00C776D1" w:rsidRDefault="00C77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13C2A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sudionika na radionicama</w:t>
            </w:r>
          </w:p>
        </w:tc>
      </w:tr>
      <w:tr w:rsidR="00C776D1" w14:paraId="5A15701C" w14:textId="77777777">
        <w:tc>
          <w:tcPr>
            <w:tcW w:w="453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F6219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Događanja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33A" w14:textId="452BC73A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 xml:space="preserve">Broj održanih </w:t>
            </w:r>
            <w:r w:rsidR="00B143BD" w:rsidRPr="00174AC4">
              <w:rPr>
                <w:sz w:val="20"/>
                <w:szCs w:val="20"/>
              </w:rPr>
              <w:t xml:space="preserve">javnih </w:t>
            </w:r>
            <w:r w:rsidRPr="00174AC4">
              <w:rPr>
                <w:sz w:val="20"/>
                <w:szCs w:val="20"/>
              </w:rPr>
              <w:t>događanja</w:t>
            </w:r>
          </w:p>
        </w:tc>
      </w:tr>
      <w:tr w:rsidR="00C776D1" w14:paraId="5979F849" w14:textId="77777777">
        <w:tc>
          <w:tcPr>
            <w:tcW w:w="453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CC6D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Osiguranje medijske vidljivosti - objave u medijima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11471" w14:textId="77777777" w:rsidR="00C776D1" w:rsidRPr="00174AC4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Broj objava u medijima</w:t>
            </w:r>
          </w:p>
        </w:tc>
      </w:tr>
      <w:tr w:rsidR="00C776D1" w14:paraId="3493744B" w14:textId="77777777">
        <w:tc>
          <w:tcPr>
            <w:tcW w:w="453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6DC11" w14:textId="77777777" w:rsidR="00C776D1" w:rsidRDefault="00C7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Javno savjetovanje</w:t>
            </w:r>
          </w:p>
        </w:tc>
        <w:tc>
          <w:tcPr>
            <w:tcW w:w="4470" w:type="dxa"/>
            <w:tcBorders>
              <w:top w:val="single" w:sz="8" w:space="0" w:color="274162"/>
              <w:left w:val="single" w:sz="8" w:space="0" w:color="274162"/>
              <w:bottom w:val="single" w:sz="8" w:space="0" w:color="274162"/>
              <w:right w:val="single" w:sz="8" w:space="0" w:color="27416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53FF5" w14:textId="38E39F59" w:rsidR="00C776D1" w:rsidRPr="00174AC4" w:rsidRDefault="00B1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  <w:r w:rsidRPr="00174AC4">
              <w:rPr>
                <w:sz w:val="20"/>
                <w:szCs w:val="20"/>
              </w:rPr>
              <w:t>Provedeno javno savjetovanje Strategije razvoja urbanog područja Slavonski Brod</w:t>
            </w:r>
          </w:p>
        </w:tc>
      </w:tr>
    </w:tbl>
    <w:p w14:paraId="17E1365E" w14:textId="77777777" w:rsidR="00C776D1" w:rsidRDefault="00C776D1">
      <w:pPr>
        <w:pStyle w:val="Heading1"/>
        <w:ind w:left="0"/>
      </w:pPr>
    </w:p>
    <w:sectPr w:rsidR="00C776D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9419" w14:textId="77777777" w:rsidR="00A27D2A" w:rsidRDefault="00A27D2A">
      <w:pPr>
        <w:spacing w:line="240" w:lineRule="auto"/>
      </w:pPr>
      <w:r>
        <w:separator/>
      </w:r>
    </w:p>
  </w:endnote>
  <w:endnote w:type="continuationSeparator" w:id="0">
    <w:p w14:paraId="54B9920A" w14:textId="77777777" w:rsidR="00A27D2A" w:rsidRDefault="00A27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BC60" w14:textId="39340105" w:rsidR="00C776D1" w:rsidRDefault="00C77F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0995">
      <w:rPr>
        <w:noProof/>
        <w:color w:val="000000"/>
      </w:rPr>
      <w:t>1</w:t>
    </w:r>
    <w:r>
      <w:rPr>
        <w:color w:val="000000"/>
      </w:rPr>
      <w:fldChar w:fldCharType="end"/>
    </w:r>
  </w:p>
  <w:p w14:paraId="3E739215" w14:textId="77777777" w:rsidR="00C776D1" w:rsidRDefault="00C77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AE2C" w14:textId="77777777" w:rsidR="00A27D2A" w:rsidRDefault="00A27D2A">
      <w:pPr>
        <w:spacing w:line="240" w:lineRule="auto"/>
      </w:pPr>
      <w:r>
        <w:separator/>
      </w:r>
    </w:p>
  </w:footnote>
  <w:footnote w:type="continuationSeparator" w:id="0">
    <w:p w14:paraId="68DBE8B4" w14:textId="77777777" w:rsidR="00A27D2A" w:rsidRDefault="00A27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2CD3" w14:textId="77777777" w:rsidR="00C776D1" w:rsidRDefault="00C77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3ABC"/>
    <w:multiLevelType w:val="multilevel"/>
    <w:tmpl w:val="1674A438"/>
    <w:lvl w:ilvl="0">
      <w:start w:val="1"/>
      <w:numFmt w:val="bullet"/>
      <w:lvlText w:val="●"/>
      <w:lvlJc w:val="left"/>
      <w:pPr>
        <w:ind w:left="720" w:hanging="360"/>
      </w:pPr>
      <w:rPr>
        <w:color w:val="27416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176CA"/>
    <w:multiLevelType w:val="multilevel"/>
    <w:tmpl w:val="C4185080"/>
    <w:lvl w:ilvl="0">
      <w:start w:val="1"/>
      <w:numFmt w:val="bullet"/>
      <w:lvlText w:val="●"/>
      <w:lvlJc w:val="left"/>
      <w:pPr>
        <w:ind w:left="720" w:hanging="360"/>
      </w:pPr>
      <w:rPr>
        <w:color w:val="27416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D63CD"/>
    <w:multiLevelType w:val="hybridMultilevel"/>
    <w:tmpl w:val="49F007F2"/>
    <w:lvl w:ilvl="0" w:tplc="1F66E308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436A"/>
    <w:multiLevelType w:val="multilevel"/>
    <w:tmpl w:val="E35266DC"/>
    <w:lvl w:ilvl="0">
      <w:start w:val="1"/>
      <w:numFmt w:val="bullet"/>
      <w:lvlText w:val="●"/>
      <w:lvlJc w:val="left"/>
      <w:pPr>
        <w:ind w:left="720" w:hanging="360"/>
      </w:pPr>
      <w:rPr>
        <w:color w:val="27416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041189">
    <w:abstractNumId w:val="3"/>
  </w:num>
  <w:num w:numId="2" w16cid:durableId="431164764">
    <w:abstractNumId w:val="0"/>
  </w:num>
  <w:num w:numId="3" w16cid:durableId="553155562">
    <w:abstractNumId w:val="1"/>
  </w:num>
  <w:num w:numId="4" w16cid:durableId="23162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D1"/>
    <w:rsid w:val="000D08EF"/>
    <w:rsid w:val="000F6902"/>
    <w:rsid w:val="00174AC4"/>
    <w:rsid w:val="00281111"/>
    <w:rsid w:val="002C661A"/>
    <w:rsid w:val="003666D5"/>
    <w:rsid w:val="00412226"/>
    <w:rsid w:val="00433613"/>
    <w:rsid w:val="00522F25"/>
    <w:rsid w:val="005A7AB4"/>
    <w:rsid w:val="006001DA"/>
    <w:rsid w:val="00602C8F"/>
    <w:rsid w:val="006667E4"/>
    <w:rsid w:val="007055C4"/>
    <w:rsid w:val="00744E49"/>
    <w:rsid w:val="00767EA7"/>
    <w:rsid w:val="007E5D84"/>
    <w:rsid w:val="00834BC0"/>
    <w:rsid w:val="00864B1E"/>
    <w:rsid w:val="0092781E"/>
    <w:rsid w:val="00974A91"/>
    <w:rsid w:val="009D5915"/>
    <w:rsid w:val="00A27D2A"/>
    <w:rsid w:val="00A407DA"/>
    <w:rsid w:val="00A9183B"/>
    <w:rsid w:val="00AA7E59"/>
    <w:rsid w:val="00B10E1E"/>
    <w:rsid w:val="00B143BD"/>
    <w:rsid w:val="00B74643"/>
    <w:rsid w:val="00B76B79"/>
    <w:rsid w:val="00BB6AF0"/>
    <w:rsid w:val="00BE1A50"/>
    <w:rsid w:val="00BF5D31"/>
    <w:rsid w:val="00C705D3"/>
    <w:rsid w:val="00C776D1"/>
    <w:rsid w:val="00C77FD1"/>
    <w:rsid w:val="00D708A3"/>
    <w:rsid w:val="00DA0958"/>
    <w:rsid w:val="00E4196F"/>
    <w:rsid w:val="00E60995"/>
    <w:rsid w:val="00E91DF3"/>
    <w:rsid w:val="00EA2592"/>
    <w:rsid w:val="00EF0F5D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75F7"/>
  <w15:docId w15:val="{AFAA255E-B3BE-4AAA-BAE6-9E674E7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2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32856"/>
    <w:pPr>
      <w:keepNext/>
      <w:keepLines/>
      <w:ind w:left="284"/>
      <w:outlineLvl w:val="0"/>
    </w:pPr>
    <w:rPr>
      <w:b/>
      <w:color w:val="27416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79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99"/>
  </w:style>
  <w:style w:type="paragraph" w:styleId="Footer">
    <w:name w:val="footer"/>
    <w:basedOn w:val="Normal"/>
    <w:link w:val="FooterChar"/>
    <w:uiPriority w:val="99"/>
    <w:unhideWhenUsed/>
    <w:rsid w:val="00A9679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99"/>
  </w:style>
  <w:style w:type="paragraph" w:styleId="TOC1">
    <w:name w:val="toc 1"/>
    <w:basedOn w:val="Normal"/>
    <w:next w:val="Normal"/>
    <w:autoRedefine/>
    <w:uiPriority w:val="39"/>
    <w:unhideWhenUsed/>
    <w:rsid w:val="00A967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6799"/>
    <w:rPr>
      <w:color w:val="0000FF" w:themeColor="hyperlink"/>
      <w:u w:val="single"/>
    </w:r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4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E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E1E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avonski-bro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x6Ogijt5GNVGfjf2wLSxMA4Pg==">AMUW2mUhCvwDCNgW/5+n3Uw6KveVG1o/RrxNL/f7VgT5UWoHEjGo8y4uF5IXMQ4mo8E6K9eQpn6v1NJeqpLPOsdEwNOGjhFZrhNgurHwRIZTwVQkMVW8fNXVv0EYckBjsRipkRvbEv3m59a6WQuEamdTunPi5PoozOeGxuhxZ7fsKawufYPdUBG9ZhCzneVoqpo6EL04cS/WJHZU0UaPCFXYx20GupWDfNtEwb5t3X7GCWPPm3AVBHBfQK/zM3I01nig1U2DjER7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Randelj</dc:creator>
  <cp:lastModifiedBy>Ivana Penić</cp:lastModifiedBy>
  <cp:revision>2</cp:revision>
  <cp:lastPrinted>2022-03-09T10:10:00Z</cp:lastPrinted>
  <dcterms:created xsi:type="dcterms:W3CDTF">2022-06-14T11:21:00Z</dcterms:created>
  <dcterms:modified xsi:type="dcterms:W3CDTF">2022-06-14T11:21:00Z</dcterms:modified>
</cp:coreProperties>
</file>