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2E0ED6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E3C95">
        <w:rPr>
          <w:rFonts w:ascii="Times New Roman" w:hAnsi="Times New Roman" w:cs="Times New Roman"/>
          <w:sz w:val="24"/>
          <w:szCs w:val="24"/>
        </w:rPr>
        <w:t>024-02/23-02/81</w:t>
      </w:r>
    </w:p>
    <w:p w14:paraId="021C2E2D" w14:textId="3676AC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E3C95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1DE55AC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E3C95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3B04FD1D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EAB7C8" w14:textId="5CF8F84F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temelju članka 18. Zakona o proračunu („Narodne novine“ broj 144/21) i članka 32. Statuta općine Bebrina (“Službeni vjesnik Brodsko-posavske županije” 02/2018, 18/2019 i 24/2019 i „Glasnik Općine Bebrina“ broj 1/2019, 2/2020 i 4/2021), na 15. sjednici Općinskog vijeća općine Bebrina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 2023. donosi se</w:t>
      </w:r>
    </w:p>
    <w:p w14:paraId="3B993466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7BF51F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 L U K A </w:t>
      </w:r>
    </w:p>
    <w:p w14:paraId="5177B380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izvršenju Proračuna općine Bebrina za 2024. godinu</w:t>
      </w:r>
    </w:p>
    <w:p w14:paraId="782E1E79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53F428" w14:textId="77777777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ODREDBE</w:t>
      </w:r>
    </w:p>
    <w:p w14:paraId="5BCA6118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DFBC941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utvrđuje se struktura prihoda i primitaka te rashoda i izdataka Proračuna Općine Bebrina za 2024. godinu (u daljnjem tekstu: Proračun), njegovo izvršavanje, opseg zaduživanja i jamstva, upravljanje financijskom imovinom, prava i obveze korisnika i nositelja proračunskih sredstava.</w:t>
      </w:r>
    </w:p>
    <w:p w14:paraId="3F64C643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16D7BA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F5EB6D0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Proračun i financijski plan donosi se i izvršava u skladu s načelima jedinstva i točnosti, proračunske godine, višegodišnjeg planiranja, uravnoteženosti, obračunske jedinice, univerzalnosti, specifikacije, dobrog financijskog upravljanja i transparentnosti.</w:t>
      </w:r>
    </w:p>
    <w:p w14:paraId="2F9824E7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CC7580" w14:textId="77777777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SADRŽAJ PRORAČUNA</w:t>
      </w:r>
    </w:p>
    <w:p w14:paraId="10C4A990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63A9A8BE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godine.</w:t>
      </w:r>
    </w:p>
    <w:p w14:paraId="7EBB5A09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čine Račun prihoda i rashoda te raspoloživa sredstva iz prethodne godine.</w:t>
      </w:r>
    </w:p>
    <w:p w14:paraId="747A0360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primitaka i rashoda i izdataka iskazani su svi prihodi po izvorima i vrstama, te rashodi i izdaci po vrstama i namjenama.</w:t>
      </w:r>
    </w:p>
    <w:p w14:paraId="07E080AD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dio Proračuna sastoji se od plana rashoda i izdataka po razdjelima, glavama, programima i aktivnostima raspoređenih u tekuće i razvojne programe za tekuću proračunsku godinu i projekcijama za sljedeće dvije godine.  </w:t>
      </w:r>
    </w:p>
    <w:p w14:paraId="4AB517A2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Proračuna sastoji se od obrazloženja općeg dijela proračuna i obrazloženja posebnog dijela proračuna.</w:t>
      </w:r>
    </w:p>
    <w:p w14:paraId="1D850FCA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D384F9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ED39B9" w14:textId="7DEDAB5A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IZVRŠAVANJE PRORAČUNA</w:t>
      </w:r>
    </w:p>
    <w:p w14:paraId="56CC5DB3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3380A7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47DB84B2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Naplata prihoda koji se naplaćuju prema Zakonu o financiranju jedinica lokalne i područne (regionalne) samouprave („Narodne novine“ broj 127/17, 138/20, 151/22 I 114/23) i drugim propisima, te odlukama predstavničkog i izvršnog tijela nije ograničena procjenom prihoda u Proračunu. </w:t>
      </w:r>
    </w:p>
    <w:p w14:paraId="4B7E8E95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Proračunska sredstva koriste se za namjene koje su određene Proračunom, i to u visini utvrđenoj u Posebnom dijelu, prema dospjelim obvezama, a u skladu s ostvarenim prihodima, odnosno likvidnim mogućnostima Proračuna Općine.</w:t>
      </w:r>
    </w:p>
    <w:p w14:paraId="5130D5E0" w14:textId="77777777" w:rsidR="00BB03F3" w:rsidRDefault="00BB03F3" w:rsidP="00BB03F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989D3DB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17915E77" w14:textId="77777777" w:rsidR="00BB03F3" w:rsidRDefault="00BB03F3" w:rsidP="00BB03F3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ab/>
        <w:t>Ukoliko se prihodi Proračuna ne naplaćuju u planiranim svotama i planiranoj dinamici tijekom godine, prednost u podmirivanju izdataka Proračuna imat će sredstva za redovnu djelatnost.</w:t>
      </w:r>
    </w:p>
    <w:p w14:paraId="3EE1AFE8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7326255B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Neraspoređeni dio prihoda čine neraspoređeni rashodi do visine proračunske pričuve koji se tijekom godine raspoređuju i koriste za nepredviđene i nedovoljno predviđene potrebe, a koje se financiraju iz Proračuna.</w:t>
      </w:r>
    </w:p>
    <w:p w14:paraId="1973F83E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071075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570F193E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Za zakonito i pravilno planiranje i izvršavanje Proračuna u cijelosti je odgovoran Općinski načelnik. </w:t>
      </w:r>
    </w:p>
    <w:p w14:paraId="794836F6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potrebe Općinski načelnik može u okviru utvrđenog iznosa izdatka pojedine pozicije izvršiti preraspodjelu sredstava između pojedinih pozicija do visine utvrđene Zakonom o proračunu.</w:t>
      </w:r>
    </w:p>
    <w:p w14:paraId="62717A98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3679038B" w14:textId="77777777" w:rsidR="00BB03F3" w:rsidRDefault="00BB03F3" w:rsidP="00BB03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raspoređena u Posebnom dijelu Proračuna za plaće zaposlenih, naknade plaća i troškova zaposlenih u Jedinstvenom upravnom odjelu izvršavat će se putem žiro-računa Proračuna do visine i za namjene utvrđene općim aktima kojima je ta materija propisana.</w:t>
      </w:r>
    </w:p>
    <w:p w14:paraId="5B89BBAB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Sredstva raspoređena za udruge građana doznačavat sukladno odredbama posebnih zakonskih i podzakonskih akata. </w:t>
      </w:r>
    </w:p>
    <w:p w14:paraId="4DF17699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Sredstva raspoređena za kapitalne izdatke izvršavat će se putem žiro-računa i doznačavat izravno izvođačima radova i dobavljačima roba i usluga na temelju odluke Izvršnog tijela.</w:t>
      </w:r>
    </w:p>
    <w:p w14:paraId="435F9F80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676DC1F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9.</w:t>
      </w:r>
    </w:p>
    <w:p w14:paraId="58E77D4F" w14:textId="77777777" w:rsidR="00BB03F3" w:rsidRDefault="00BB03F3" w:rsidP="00BB03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Odgoda plaćanja i obročna otplata (reprogram) duga Općini, otpis ili djelomičan otpis potraživanja Općine te prodaja potraživanja Općine, određuje se i provodi na način i pod uvjetima utvrđenim važećim propisima.</w:t>
      </w:r>
    </w:p>
    <w:p w14:paraId="43BF16B1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D659B9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3CC460" w14:textId="77777777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PRORAČUNSKI NADZOR </w:t>
      </w:r>
    </w:p>
    <w:p w14:paraId="7C46A396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FEB67E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10.</w:t>
      </w:r>
    </w:p>
    <w:p w14:paraId="12ABC323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Proračunski nadzor postupak je nadziranja zakonitosti, svrhovitosti i pravodobnosti korištenja proračunskih sredstava kojim se nalažu mjere za otklanjanje utvrđenih nezakonitosti i nepravilnosti. Obuhvaća nadzor računovodstvenih, financijskih i ostalih poslovnih dokumenata. </w:t>
      </w:r>
    </w:p>
    <w:p w14:paraId="6269D481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Proračunski nadzor obavlja Ministarstvo financija. </w:t>
      </w:r>
    </w:p>
    <w:p w14:paraId="110A3AF3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 nad korištenjem sredstava i izvršavanjem Proračuna obavlja Općinsko vijeće.  </w:t>
      </w:r>
    </w:p>
    <w:p w14:paraId="508426D6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D2C02C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11.</w:t>
      </w:r>
    </w:p>
    <w:p w14:paraId="48234F6B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dužan je polugodišnje i  godišnje izvršavanje Proračuna dostavljati  Općinskom vijeću. </w:t>
      </w:r>
    </w:p>
    <w:p w14:paraId="0DAAAA65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godišnji izvještaj o izvršenju Proračuna dostavlja Ministarstvu financija i Državnom uredu za reviziju u roku od 15 dana nakon što ga donese Općinsko vijeće. </w:t>
      </w:r>
    </w:p>
    <w:p w14:paraId="67579518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Iznimno, ako Općinsko vijeće ne donese godišnji izvještaj o izvršenju Proračuna, Općinski načelnik isti dostavlja Ministarstvu financija i Državnom uredu za reviziju u roku 60 dana od dana podnošenja Općinskom vijeću.</w:t>
      </w:r>
    </w:p>
    <w:p w14:paraId="25FFA099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0D01E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12.</w:t>
      </w:r>
    </w:p>
    <w:p w14:paraId="31FCF421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odgovoran je za izvršavanje Proračuna u cjelini.</w:t>
      </w:r>
    </w:p>
    <w:p w14:paraId="502E58AC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CB1A7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13.</w:t>
      </w:r>
    </w:p>
    <w:p w14:paraId="0B080E1E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Ako tijekom godine dođe do neusklađenosti planiranih prihoda i primitaka i rashoda i izdataka Proračuna, Izvršno tijelo će predložiti Općinskom vijeću donošenje izmjena i dopuna Proračuna.</w:t>
      </w:r>
    </w:p>
    <w:p w14:paraId="4F123C16" w14:textId="77777777" w:rsidR="00BB03F3" w:rsidRDefault="00BB03F3" w:rsidP="00BB03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997F1C3" w14:textId="77777777" w:rsidR="00BB03F3" w:rsidRDefault="00BB03F3" w:rsidP="00BB03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ISPLATA SREDSTAVA IZ PRORAČUNA</w:t>
      </w:r>
    </w:p>
    <w:p w14:paraId="25226A2F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504439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14.</w:t>
      </w:r>
    </w:p>
    <w:p w14:paraId="06560C90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rashod i izdatak iz Proračuna mora se temeljiti na vjerodostojnoj knjigovodstvenoj ispravi kojom se dokazuje obveza plaćanja. Prije isplate mora se provjeriti i potvrditi pravni temelj i visina obveze koja proizlazi iz knjigovodstvene isprave. </w:t>
      </w:r>
    </w:p>
    <w:p w14:paraId="2E2C993A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Nalog za isplatu iz Proračuna s oznakom aktivnosti izdaje i ovjerava Općinski načelnik svojim potpisom.</w:t>
      </w:r>
    </w:p>
    <w:p w14:paraId="7FFF0049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Novčana sredstva iz Proračuna mogu se koristiti za plaćanje po predujmovima i predračunima do iznosa do 10.000,00 eura.</w:t>
      </w:r>
    </w:p>
    <w:p w14:paraId="74BAF5E4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7811F5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15.</w:t>
      </w:r>
    </w:p>
    <w:p w14:paraId="7055ADA8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rad političkih stranaka, </w:t>
      </w:r>
      <w:r w:rsidRPr="006D584E">
        <w:rPr>
          <w:rFonts w:ascii="Times New Roman" w:eastAsia="Calibri" w:hAnsi="Times New Roman" w:cs="Times New Roman"/>
          <w:sz w:val="24"/>
          <w:szCs w:val="24"/>
        </w:rPr>
        <w:t xml:space="preserve">vijećnika izabranih s liste grupe birača i </w:t>
      </w:r>
      <w:r w:rsidRPr="006D584E">
        <w:rPr>
          <w:rFonts w:ascii="Times New Roman" w:eastAsia="Times New Roman" w:hAnsi="Times New Roman" w:cs="Times New Roman"/>
          <w:sz w:val="24"/>
          <w:szCs w:val="24"/>
          <w:lang w:eastAsia="hr-HR"/>
        </w:rPr>
        <w:t>nezavisnih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listi zastupljenih u Općinskom vijeću, naknade troškova za rad članova Općinskog vijeća i njegovih radnih tijela, isplaćivat će se temeljem Odluke Općinskog vijeća o određivanju naknada vijećnicima i drugim osobama koje bira ili imenuje Općinsko vijeće i odluke Općinskog načelnika.</w:t>
      </w:r>
    </w:p>
    <w:p w14:paraId="21F3F514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0DBB3C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16.</w:t>
      </w:r>
    </w:p>
    <w:p w14:paraId="54D4C4C3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Pogrešno ili više uplaćeni prihodi u Proračunu, vraćaju se uplatiteljima na teret tih prihoda. Pogrešno ili više uplaćeni prihodi u proračune prethodnih godina, vraćaju se uplatiteljima na teret rashoda Proračuna ili na teret rezultata poslovanja. </w:t>
      </w:r>
    </w:p>
    <w:p w14:paraId="018D5020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povratu sredstava donosi Općinski načelnik.</w:t>
      </w:r>
    </w:p>
    <w:p w14:paraId="25478297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699FB7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17.</w:t>
      </w:r>
    </w:p>
    <w:p w14:paraId="4621120C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Raspoloživim novčanim sredstvima na računu proračuna upravlja Općinski načelnik.</w:t>
      </w:r>
    </w:p>
    <w:p w14:paraId="7DBE415B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Raspoloživa novčana sredstva mogu se oročavati kod poslovnih banaka.</w:t>
      </w:r>
    </w:p>
    <w:p w14:paraId="06DE2896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koji se ostvare od upravljanja raspoloživim novčanim sredstvima prihodi su Proračuna.</w:t>
      </w:r>
    </w:p>
    <w:p w14:paraId="78C2DEE6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C7C4F5" w14:textId="583EB56C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18.</w:t>
      </w:r>
    </w:p>
    <w:p w14:paraId="71DBA2E6" w14:textId="77777777" w:rsidR="00BB03F3" w:rsidRDefault="00BB03F3" w:rsidP="00BB03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Općina se može zaduživati uzimanjem kredita na tržištu novca i kapitala temeljem Odluke Općinskog vijeća sukladno zakonskim odredbama.</w:t>
      </w:r>
    </w:p>
    <w:p w14:paraId="12053EBA" w14:textId="77777777" w:rsidR="00BB03F3" w:rsidRPr="00D050B4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0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u većinskom izravnom vlasništvu čiji je Općina osnivač može se zaduživati samo za investiciju uz suglasnost općinskog načelnika i uz uvjete i način propisan Zakonom o proračunu. </w:t>
      </w:r>
    </w:p>
    <w:p w14:paraId="6E443212" w14:textId="77777777" w:rsidR="00BB03F3" w:rsidRPr="00D050B4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0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Općinski načelnik također može dati jamstvo pravnoj osobi u većinskom izravnom vlasništvu općine čiji je osnivač za ispunjenje obveza pravne osobe, uz uvjete i na način propisan Zakonom o proračunu. </w:t>
      </w:r>
    </w:p>
    <w:p w14:paraId="4941C7D6" w14:textId="77777777" w:rsidR="00BB03F3" w:rsidRPr="00D050B4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0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je obvezna prije davanja jamstva ishoditi suglasnost ministra financija. </w:t>
      </w:r>
    </w:p>
    <w:p w14:paraId="7B9C3AC6" w14:textId="77777777" w:rsidR="00BB03F3" w:rsidRPr="003C501F" w:rsidRDefault="00BB03F3" w:rsidP="00BB03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50B4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jamstvu sklapa općinski načelnik.</w:t>
      </w:r>
    </w:p>
    <w:p w14:paraId="3387BC8F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5992E3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C64FF9A" w14:textId="77777777" w:rsidR="00BB03F3" w:rsidRDefault="00BB03F3" w:rsidP="00BB03F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Godišnji proračun izvršava se od 01. siječnja do 31. prosinca 2024. godine.</w:t>
      </w:r>
    </w:p>
    <w:p w14:paraId="49AEC1F0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Ako se proračunski prihodi ostvare u svoti većoj od planiranih, uporabit će se za namjene koje će na kraju obračunskog razdoblja Općinsko vijeće propisati svojom odlukom.</w:t>
      </w:r>
    </w:p>
    <w:p w14:paraId="5052EBEE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Manjak  proračuna financirat će se iz viška prihoda iz prethodnih godina.</w:t>
      </w:r>
    </w:p>
    <w:p w14:paraId="1831D7D7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2066E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20.</w:t>
      </w:r>
    </w:p>
    <w:p w14:paraId="592D940F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stupa na snagu 1. siječnja 2024. godine i biti će objavljena u “Glasniku Općine Bebrina”.           </w:t>
      </w:r>
    </w:p>
    <w:p w14:paraId="4495E515" w14:textId="77777777" w:rsidR="00BB03F3" w:rsidRDefault="00BB03F3" w:rsidP="00BB03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2241B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AFF29B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FAF321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4E3C7C" w14:textId="77777777" w:rsidR="00BB03F3" w:rsidRDefault="00BB03F3" w:rsidP="00BB0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 BEBRINA</w:t>
      </w:r>
    </w:p>
    <w:p w14:paraId="067358DC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24B469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2529D45F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_______________________________</w:t>
      </w:r>
    </w:p>
    <w:p w14:paraId="50C50B24" w14:textId="77777777" w:rsidR="00BB03F3" w:rsidRDefault="00BB03F3" w:rsidP="00BB03F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32493A9F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5AB7BC" w14:textId="77777777" w:rsidR="00BB03F3" w:rsidRDefault="00BB03F3" w:rsidP="00BB03F3">
      <w:pPr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477632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8E4046" w14:textId="77777777" w:rsidR="00BB03F3" w:rsidRDefault="00BB03F3" w:rsidP="00BB0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3D446451" w14:textId="77777777" w:rsidR="00BB03F3" w:rsidRDefault="00BB03F3" w:rsidP="00BB03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financija</w:t>
      </w:r>
    </w:p>
    <w:p w14:paraId="03C95BAF" w14:textId="77777777" w:rsidR="00BB03F3" w:rsidRDefault="00BB03F3" w:rsidP="00BB03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5ECEFD66" w14:textId="77777777" w:rsidR="00BB03F3" w:rsidRDefault="00BB03F3" w:rsidP="00BB03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Glasnik Općine Bebrina</w:t>
      </w:r>
    </w:p>
    <w:p w14:paraId="45DC0E11" w14:textId="77777777" w:rsidR="00BB03F3" w:rsidRDefault="00BB03F3" w:rsidP="00BB03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p w14:paraId="26147E1D" w14:textId="77777777" w:rsidR="00BB03F3" w:rsidRDefault="00BB03F3" w:rsidP="00BB03F3">
      <w:pPr>
        <w:rPr>
          <w:rFonts w:ascii="Times New Roman" w:hAnsi="Times New Roman" w:cs="Times New Roman"/>
          <w:sz w:val="24"/>
          <w:szCs w:val="24"/>
        </w:rPr>
      </w:pPr>
    </w:p>
    <w:p w14:paraId="7B36F380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74F5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B8D6E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D982B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36FFA" w14:textId="77777777" w:rsidR="00BB03F3" w:rsidRDefault="00BB03F3" w:rsidP="00BB03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1726D" w14:textId="66EE289F" w:rsidR="00AC2EB9" w:rsidRPr="00BB03F3" w:rsidRDefault="00AC2EB9" w:rsidP="00BB03F3">
      <w:pPr>
        <w:rPr>
          <w:rFonts w:ascii="Times New Roman" w:hAnsi="Times New Roman" w:cs="Times New Roman"/>
          <w:sz w:val="24"/>
          <w:szCs w:val="24"/>
        </w:rPr>
      </w:pPr>
    </w:p>
    <w:sectPr w:rsidR="00AC2EB9" w:rsidRPr="00BB03F3" w:rsidSect="00BB03F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7968"/>
    <w:multiLevelType w:val="hybridMultilevel"/>
    <w:tmpl w:val="34F88CEC"/>
    <w:lvl w:ilvl="0" w:tplc="D62AC5F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72B1"/>
    <w:multiLevelType w:val="hybridMultilevel"/>
    <w:tmpl w:val="3802F9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6936627">
    <w:abstractNumId w:val="1"/>
  </w:num>
  <w:num w:numId="2" w16cid:durableId="6330283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2351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B03F3"/>
    <w:rsid w:val="00BE3315"/>
    <w:rsid w:val="00C81414"/>
    <w:rsid w:val="00DE3C9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customStyle="1" w:styleId="box469218">
    <w:name w:val="box_469218"/>
    <w:basedOn w:val="Normal"/>
    <w:rsid w:val="00BB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2023-12-13T14:17:00Z</dcterms:created>
  <dcterms:modified xsi:type="dcterms:W3CDTF">2023-12-13T14:17:00Z</dcterms:modified>
</cp:coreProperties>
</file>