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424395">
      <w:pPr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margin">
                  <wp:posOffset>488950</wp:posOffset>
                </wp:positionH>
                <wp:positionV relativeFrom="paragraph">
                  <wp:posOffset>89535</wp:posOffset>
                </wp:positionV>
                <wp:extent cx="755015" cy="755650"/>
                <wp:effectExtent l="0" t="0" r="6985" b="6350"/>
                <wp:wrapSquare wrapText="bothSides"/>
                <wp:docPr id="217" name="Tekstni okvi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55015" cy="755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855DEFE">
                            <w:bookmarkStart w:id="0" w:name="_Hlk191410876"/>
                            <w:bookmarkEnd w:id="0"/>
                            <w:r>
                              <w:drawing>
                                <wp:inline distT="0" distB="0" distL="0" distR="0">
                                  <wp:extent cx="484505" cy="642620"/>
                                  <wp:effectExtent l="0" t="0" r="0" b="5080"/>
                                  <wp:docPr id="5" name="Slika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5" name="Slika 5"/>
                                          <pic:cNvPicPr>
                                            <a:picLocks noChangeAspect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491493" cy="651704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ni okvir 2" o:spid="_x0000_s1026" o:spt="202" type="#_x0000_t202" style="position:absolute;left:0pt;margin-left:38.5pt;margin-top:7.05pt;height:59.5pt;width:59.45pt;mso-position-horizontal-relative:margin;mso-wrap-distance-bottom:3.6pt;mso-wrap-distance-left:9pt;mso-wrap-distance-right:9pt;mso-wrap-distance-top:3.6pt;z-index:251660288;mso-width-relative:page;mso-height-relative:page;" fillcolor="#FFFFFF" filled="t" stroked="f" coordsize="21600,21600" o:gfxdata="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3855DEFE">
                      <w:bookmarkStart w:id="0" w:name="_Hlk191410876"/>
                      <w:bookmarkEnd w:id="0"/>
                      <w:r>
                        <w:drawing>
                          <wp:inline distT="0" distB="0" distL="0" distR="0">
                            <wp:extent cx="484505" cy="642620"/>
                            <wp:effectExtent l="0" t="0" r="0" b="5080"/>
                            <wp:docPr id="5" name="Slika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5" name="Slika 5"/>
                                    <pic:cNvPicPr>
                                      <a:picLocks noChangeAspect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491493" cy="651704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F168C0C">
      <w:pPr>
        <w:rPr>
          <w:rFonts w:ascii="Times New Roman" w:hAnsi="Times New Roman" w:cs="Times New Roman"/>
          <w:sz w:val="24"/>
          <w:szCs w:val="24"/>
        </w:rPr>
      </w:pPr>
    </w:p>
    <w:p w14:paraId="66275AD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ED57874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margin">
                  <wp:posOffset>-480695</wp:posOffset>
                </wp:positionH>
                <wp:positionV relativeFrom="paragraph">
                  <wp:posOffset>106045</wp:posOffset>
                </wp:positionV>
                <wp:extent cx="2724150" cy="1484630"/>
                <wp:effectExtent l="0" t="0" r="0" b="1270"/>
                <wp:wrapSquare wrapText="bothSides"/>
                <wp:docPr id="4" name="Tekstni okvi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24150" cy="14846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EE816CC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REPUBLIKA HRVATSKA</w:t>
                            </w:r>
                          </w:p>
                          <w:p w14:paraId="38BF7A49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BRODSKO-POSAVSKA-ŽUPANIJA</w:t>
                            </w:r>
                          </w:p>
                          <w:p w14:paraId="24C304C2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OPĆINA BEBRINA</w:t>
                            </w:r>
                          </w:p>
                          <w:p w14:paraId="689A4FD4">
                            <w:pPr>
                              <w:spacing w:after="0" w:line="240" w:lineRule="auto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</w:rPr>
                              <w:t>OPĆINSKO VIJEĆE</w:t>
                            </w:r>
                          </w:p>
                          <w:p w14:paraId="0872044B">
                            <w:pPr>
                              <w:spacing w:after="0" w:line="240" w:lineRule="auto"/>
                              <w:jc w:val="center"/>
                              <w:rPr>
                                <w:rFonts w:hint="default" w:ascii="Times New Roman" w:hAnsi="Times New Roman" w:cs="Times New Roman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lang w:val="hr-HR"/>
                              </w:rPr>
                              <w:t>Bebrina 83, 35254 Bebrina</w:t>
                            </w:r>
                          </w:p>
                          <w:p w14:paraId="29EF8154">
                            <w:pPr>
                              <w:spacing w:after="0" w:line="240" w:lineRule="auto"/>
                              <w:jc w:val="center"/>
                              <w:rPr>
                                <w:rFonts w:hint="default" w:ascii="Times New Roman" w:hAnsi="Times New Roman" w:cs="Times New Roman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lang w:val="hr-HR"/>
                              </w:rPr>
                              <w:t>OIB: 52630455645</w:t>
                            </w:r>
                          </w:p>
                          <w:p w14:paraId="7897A576">
                            <w:pPr>
                              <w:spacing w:after="0" w:line="240" w:lineRule="auto"/>
                              <w:jc w:val="center"/>
                              <w:rPr>
                                <w:rFonts w:hint="default" w:ascii="Times New Roman" w:hAnsi="Times New Roman" w:cs="Times New Roman"/>
                                <w:sz w:val="24"/>
                                <w:lang w:val="hr-HR"/>
                              </w:rPr>
                            </w:pPr>
                            <w:r>
                              <w:rPr>
                                <w:rFonts w:hint="default" w:ascii="Times New Roman" w:hAnsi="Times New Roman" w:cs="Times New Roman"/>
                                <w:sz w:val="24"/>
                                <w:lang w:val="hr-HR"/>
                              </w:rPr>
                              <w:t>Tel:035/433-109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kstni okvir 2" o:spid="_x0000_s1026" o:spt="202" type="#_x0000_t202" style="position:absolute;left:0pt;margin-left:-37.85pt;margin-top:8.35pt;height:116.9pt;width:214.5pt;mso-position-horizontal-relative:margin;mso-wrap-distance-bottom:3.6pt;mso-wrap-distance-left:9pt;mso-wrap-distance-right:9pt;mso-wrap-distance-top:3.6pt;z-index:251661312;mso-width-relative:page;mso-height-relative:page;" fillcolor="#FFFFFF" filled="t" stroked="f" coordsize="21600,21600" o:gfxdata="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">
                <v:fill on="t" focussize="0,0"/>
                <v:stroke on="f" miterlimit="8" joinstyle="miter"/>
                <v:imagedata o:title=""/>
                <o:lock v:ext="edit" aspectratio="f"/>
                <v:textbox>
                  <w:txbxContent>
                    <w:p w14:paraId="4EE816CC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REPUBLIKA HRVATSKA</w:t>
                      </w:r>
                    </w:p>
                    <w:p w14:paraId="38BF7A49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BRODSKO-POSAVSKA-ŽUPANIJA</w:t>
                      </w:r>
                    </w:p>
                    <w:p w14:paraId="24C304C2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OPĆINA BEBRINA</w:t>
                      </w:r>
                    </w:p>
                    <w:p w14:paraId="689A4FD4">
                      <w:pPr>
                        <w:spacing w:after="0" w:line="240" w:lineRule="auto"/>
                        <w:jc w:val="center"/>
                        <w:rPr>
                          <w:rFonts w:ascii="Times New Roman" w:hAnsi="Times New Roman" w:cs="Times New Roman"/>
                          <w:sz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</w:rPr>
                        <w:t>OPĆINSKO VIJEĆE</w:t>
                      </w:r>
                    </w:p>
                    <w:p w14:paraId="0872044B">
                      <w:pPr>
                        <w:spacing w:after="0" w:line="240" w:lineRule="auto"/>
                        <w:jc w:val="center"/>
                        <w:rPr>
                          <w:rFonts w:hint="default" w:ascii="Times New Roman" w:hAnsi="Times New Roman" w:cs="Times New Roman"/>
                          <w:sz w:val="24"/>
                          <w:lang w:val="hr-HR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4"/>
                          <w:lang w:val="hr-HR"/>
                        </w:rPr>
                        <w:t>Bebrina 83, 35254 Bebrina</w:t>
                      </w:r>
                    </w:p>
                    <w:p w14:paraId="29EF8154">
                      <w:pPr>
                        <w:spacing w:after="0" w:line="240" w:lineRule="auto"/>
                        <w:jc w:val="center"/>
                        <w:rPr>
                          <w:rFonts w:hint="default" w:ascii="Times New Roman" w:hAnsi="Times New Roman" w:cs="Times New Roman"/>
                          <w:sz w:val="24"/>
                          <w:lang w:val="hr-HR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4"/>
                          <w:lang w:val="hr-HR"/>
                        </w:rPr>
                        <w:t>OIB: 52630455645</w:t>
                      </w:r>
                    </w:p>
                    <w:p w14:paraId="7897A576">
                      <w:pPr>
                        <w:spacing w:after="0" w:line="240" w:lineRule="auto"/>
                        <w:jc w:val="center"/>
                        <w:rPr>
                          <w:rFonts w:hint="default" w:ascii="Times New Roman" w:hAnsi="Times New Roman" w:cs="Times New Roman"/>
                          <w:sz w:val="24"/>
                          <w:lang w:val="hr-HR"/>
                        </w:rPr>
                      </w:pPr>
                      <w:r>
                        <w:rPr>
                          <w:rFonts w:hint="default" w:ascii="Times New Roman" w:hAnsi="Times New Roman" w:cs="Times New Roman"/>
                          <w:sz w:val="24"/>
                          <w:lang w:val="hr-HR"/>
                        </w:rPr>
                        <w:t>Tel:035/433-109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2E7AA08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16C4EB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3142111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CE29E8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977D30B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56D4D2C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238C0A8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48A8B0D9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2DCF7D3">
      <w:pPr>
        <w:spacing w:after="0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KLASA: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400-02/26-01/2</w:t>
      </w:r>
    </w:p>
    <w:p w14:paraId="021C2E2D">
      <w:pPr>
        <w:spacing w:after="0"/>
        <w:rPr>
          <w:rFonts w:hint="default"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2178-2-03-26-1</w:t>
      </w:r>
    </w:p>
    <w:p w14:paraId="0E2423A1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Bebrina </w:t>
      </w:r>
      <w:r>
        <w:rPr>
          <w:rFonts w:hint="default" w:ascii="Times New Roman" w:hAnsi="Times New Roman" w:cs="Times New Roman"/>
          <w:sz w:val="24"/>
          <w:szCs w:val="24"/>
          <w:lang w:val="hr-HR"/>
        </w:rPr>
        <w:t>15</w:t>
      </w:r>
      <w:r>
        <w:rPr>
          <w:rFonts w:ascii="Times New Roman" w:hAnsi="Times New Roman" w:cs="Times New Roman"/>
          <w:sz w:val="24"/>
          <w:szCs w:val="24"/>
        </w:rPr>
        <w:t>. lipnja 2026. godine</w:t>
      </w:r>
    </w:p>
    <w:p w14:paraId="0494E9A6">
      <w:pPr>
        <w:spacing w:after="0" w:line="240" w:lineRule="auto"/>
        <w:jc w:val="right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5FD43302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Na temelju članka 82. stavka 2. Pravilnika o proračunskom računovodstvu i računskom planu («Narodne novine» br. 124/14, 115/15, 87/16 3/18, 126/19 i 108/20) i članka 32. Statuta Općine Bebrina („Službeni vjesnik Brodsko-posavske županije“ broj 2/2018, 18/2019 i 24/2019 i „Glasnika Općine Bebrina“ broj 1/2019, 2/2020 i 4/2021.), Općinsko vijeće općine Bebrina na svojoj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hr-HR"/>
        </w:rPr>
        <w:t>8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. sjednici održanoj dana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hr-HR"/>
        </w:rPr>
        <w:t>15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. lipnja 2026. godine donijelo je</w:t>
      </w:r>
    </w:p>
    <w:p w14:paraId="6AB5CC49">
      <w:pPr>
        <w:spacing w:after="0" w:line="240" w:lineRule="auto"/>
        <w:ind w:firstLine="425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5B6AF053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309277E5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  <w:t>O D L U K U</w:t>
      </w:r>
    </w:p>
    <w:p w14:paraId="7E0E5A9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  <w:t>o raspodjeli rezultata poslovanja na dan 31.12.2025. godine</w:t>
      </w:r>
    </w:p>
    <w:p w14:paraId="07B5465E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  <w:lang w:eastAsia="hr-HR"/>
        </w:rPr>
      </w:pPr>
    </w:p>
    <w:p w14:paraId="0C2A6A9B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>Članak 1.</w:t>
      </w:r>
    </w:p>
    <w:p w14:paraId="433C9DEE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Salda rezultata poslovanja iskazani u Bilanci na dan 31. prosinac 202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 w:eastAsia="hr-HR"/>
        </w:rPr>
        <w:t>5</w:t>
      </w:r>
      <w:bookmarkStart w:id="1" w:name="_GoBack"/>
      <w:bookmarkEnd w:id="1"/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. godine iznose</w:t>
      </w:r>
    </w:p>
    <w:p w14:paraId="5AA2EDBB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tbl>
      <w:tblPr>
        <w:tblStyle w:val="7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9"/>
        <w:gridCol w:w="3113"/>
      </w:tblGrid>
      <w:tr w14:paraId="32D16FF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5949" w:type="dxa"/>
          </w:tcPr>
          <w:p w14:paraId="3787188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Naziv konta iz računskog plana</w:t>
            </w:r>
          </w:p>
        </w:tc>
        <w:tc>
          <w:tcPr>
            <w:tcW w:w="3113" w:type="dxa"/>
          </w:tcPr>
          <w:p w14:paraId="54C55EC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Iznos</w:t>
            </w:r>
          </w:p>
        </w:tc>
      </w:tr>
      <w:tr w14:paraId="29F47C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</w:tcPr>
          <w:p w14:paraId="27C19D7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92211 višak prihoda poslovanja</w:t>
            </w:r>
          </w:p>
        </w:tc>
        <w:tc>
          <w:tcPr>
            <w:tcW w:w="3113" w:type="dxa"/>
          </w:tcPr>
          <w:p w14:paraId="49C1C6C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2.366.338,21 EUR</w:t>
            </w:r>
          </w:p>
        </w:tc>
      </w:tr>
      <w:tr w14:paraId="2AEB442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</w:tcPr>
          <w:p w14:paraId="4689765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92214 višak prihoda poslovanja</w:t>
            </w:r>
          </w:p>
        </w:tc>
        <w:tc>
          <w:tcPr>
            <w:tcW w:w="3113" w:type="dxa"/>
          </w:tcPr>
          <w:p w14:paraId="228D89C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130.879,33 EUR</w:t>
            </w:r>
          </w:p>
        </w:tc>
      </w:tr>
      <w:tr w14:paraId="2A9B3B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</w:tcPr>
          <w:p w14:paraId="1EF53A0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92221 manjak prihoda poslovanja</w:t>
            </w:r>
          </w:p>
        </w:tc>
        <w:tc>
          <w:tcPr>
            <w:tcW w:w="3113" w:type="dxa"/>
          </w:tcPr>
          <w:p w14:paraId="40C04170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-1.245.830,80 EUR</w:t>
            </w:r>
          </w:p>
        </w:tc>
      </w:tr>
      <w:tr w14:paraId="35D2326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</w:tcPr>
          <w:p w14:paraId="2DC8070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92222 manjak prihoda od nefinancijske imovine</w:t>
            </w:r>
          </w:p>
        </w:tc>
        <w:tc>
          <w:tcPr>
            <w:tcW w:w="3113" w:type="dxa"/>
          </w:tcPr>
          <w:p w14:paraId="6DC1908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-889.514,62 EUR</w:t>
            </w:r>
          </w:p>
        </w:tc>
      </w:tr>
      <w:tr w14:paraId="30C182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</w:tcPr>
          <w:p w14:paraId="53B0B654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92225 manjak prihoda od nefinancijske imovine</w:t>
            </w:r>
          </w:p>
        </w:tc>
        <w:tc>
          <w:tcPr>
            <w:tcW w:w="3113" w:type="dxa"/>
          </w:tcPr>
          <w:p w14:paraId="3D4F92DA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-130.879,33 EUR</w:t>
            </w:r>
          </w:p>
        </w:tc>
      </w:tr>
      <w:tr w14:paraId="3FBB05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949" w:type="dxa"/>
          </w:tcPr>
          <w:p w14:paraId="5BE39B03">
            <w:pPr>
              <w:spacing w:after="0" w:line="240" w:lineRule="auto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UKUPAN REZULTAT (višak)</w:t>
            </w:r>
          </w:p>
        </w:tc>
        <w:tc>
          <w:tcPr>
            <w:tcW w:w="3113" w:type="dxa"/>
          </w:tcPr>
          <w:p w14:paraId="45BEB1E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230.992,79 EUR</w:t>
            </w:r>
          </w:p>
        </w:tc>
      </w:tr>
    </w:tbl>
    <w:p w14:paraId="04C4E2B6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103A02AA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>Članak 2.</w:t>
      </w:r>
    </w:p>
    <w:p w14:paraId="3023ABEE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  <w:t>Utvrđeni višak prihoda poslovanja na računu 92211 u iznosu od 2.366.338,21 EUR iskazan prema izvorima financiranja je slijedeći</w:t>
      </w:r>
    </w:p>
    <w:p w14:paraId="63878FBE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9"/>
        <w:gridCol w:w="3113"/>
      </w:tblGrid>
      <w:tr w14:paraId="1710CF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9" w:type="dxa"/>
          </w:tcPr>
          <w:p w14:paraId="62A25466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Naziv izvora financiranja</w:t>
            </w:r>
          </w:p>
        </w:tc>
        <w:tc>
          <w:tcPr>
            <w:tcW w:w="3113" w:type="dxa"/>
          </w:tcPr>
          <w:p w14:paraId="088CA7DF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Iznos</w:t>
            </w:r>
          </w:p>
        </w:tc>
      </w:tr>
      <w:tr w14:paraId="4F99A2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9" w:type="dxa"/>
          </w:tcPr>
          <w:p w14:paraId="7AE90840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Opći prihodi i primici</w:t>
            </w:r>
          </w:p>
        </w:tc>
        <w:tc>
          <w:tcPr>
            <w:tcW w:w="3113" w:type="dxa"/>
          </w:tcPr>
          <w:p w14:paraId="58EE78B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425.513,60 EUR</w:t>
            </w:r>
          </w:p>
        </w:tc>
      </w:tr>
      <w:tr w14:paraId="6792A1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9" w:type="dxa"/>
          </w:tcPr>
          <w:p w14:paraId="53FCE8A9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Namjenski prihodi</w:t>
            </w:r>
          </w:p>
        </w:tc>
        <w:tc>
          <w:tcPr>
            <w:tcW w:w="3113" w:type="dxa"/>
          </w:tcPr>
          <w:p w14:paraId="2876908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235.151,78 EUR</w:t>
            </w:r>
          </w:p>
        </w:tc>
      </w:tr>
      <w:tr w14:paraId="246763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9" w:type="dxa"/>
          </w:tcPr>
          <w:p w14:paraId="7F46752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Pomoći</w:t>
            </w:r>
          </w:p>
        </w:tc>
        <w:tc>
          <w:tcPr>
            <w:tcW w:w="3113" w:type="dxa"/>
          </w:tcPr>
          <w:p w14:paraId="4D0A6F9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1.640.173,86 EUR</w:t>
            </w:r>
          </w:p>
        </w:tc>
      </w:tr>
      <w:tr w14:paraId="2E1F2F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9" w:type="dxa"/>
          </w:tcPr>
          <w:p w14:paraId="2D4DAF7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Prodaja nefinancijske imovine</w:t>
            </w:r>
          </w:p>
        </w:tc>
        <w:tc>
          <w:tcPr>
            <w:tcW w:w="3113" w:type="dxa"/>
          </w:tcPr>
          <w:p w14:paraId="1852735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65.498,97 EUR</w:t>
            </w:r>
          </w:p>
        </w:tc>
      </w:tr>
    </w:tbl>
    <w:p w14:paraId="7D67DD91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</w:pPr>
    </w:p>
    <w:p w14:paraId="14ABF006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  <w:t>Utvrđeni višak prihoda poslovanja na računu 92214 u iznosu od 130.879,33 EUR po izvorima financiranja je slijedeći</w:t>
      </w:r>
    </w:p>
    <w:p w14:paraId="2323E2D5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9"/>
        <w:gridCol w:w="3113"/>
      </w:tblGrid>
      <w:tr w14:paraId="650CB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9" w:type="dxa"/>
          </w:tcPr>
          <w:p w14:paraId="32C1D840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Naziv izvora financiranja</w:t>
            </w:r>
          </w:p>
        </w:tc>
        <w:tc>
          <w:tcPr>
            <w:tcW w:w="3113" w:type="dxa"/>
          </w:tcPr>
          <w:p w14:paraId="5191E50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Iznos</w:t>
            </w:r>
          </w:p>
        </w:tc>
      </w:tr>
      <w:tr w14:paraId="5DAE6D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9" w:type="dxa"/>
          </w:tcPr>
          <w:p w14:paraId="32C934D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Pomoći</w:t>
            </w:r>
          </w:p>
        </w:tc>
        <w:tc>
          <w:tcPr>
            <w:tcW w:w="3113" w:type="dxa"/>
          </w:tcPr>
          <w:p w14:paraId="6BFCD619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130.879,33 EUR</w:t>
            </w:r>
          </w:p>
        </w:tc>
      </w:tr>
    </w:tbl>
    <w:p w14:paraId="71C05A3E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  <w:t>Utvrđeni manjak prihoda poslovanja na računu 92221 u iznosu od 1.245.830,80 EUR iskazan prema izvorima financiranja je slijedeći</w:t>
      </w:r>
    </w:p>
    <w:p w14:paraId="7B52E665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9"/>
        <w:gridCol w:w="3113"/>
      </w:tblGrid>
      <w:tr w14:paraId="30FF68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5949" w:type="dxa"/>
          </w:tcPr>
          <w:p w14:paraId="365DA3D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Naziv izvora financiranja</w:t>
            </w:r>
          </w:p>
        </w:tc>
        <w:tc>
          <w:tcPr>
            <w:tcW w:w="3113" w:type="dxa"/>
          </w:tcPr>
          <w:p w14:paraId="4163E97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Iznos</w:t>
            </w:r>
          </w:p>
        </w:tc>
      </w:tr>
      <w:tr w14:paraId="39ECA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9" w:type="dxa"/>
          </w:tcPr>
          <w:p w14:paraId="5674979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Pomoći</w:t>
            </w:r>
          </w:p>
        </w:tc>
        <w:tc>
          <w:tcPr>
            <w:tcW w:w="3113" w:type="dxa"/>
          </w:tcPr>
          <w:p w14:paraId="51E7852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-1.245.830,80 EUR</w:t>
            </w:r>
          </w:p>
        </w:tc>
      </w:tr>
    </w:tbl>
    <w:p w14:paraId="07AD866E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</w:pPr>
    </w:p>
    <w:p w14:paraId="270AD306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  <w:t>Manjak prihoda od nefinancijske imovine na računu 92222 u iznosu od 889.514,62 EUR po izvorima financiranja sastoji se od</w:t>
      </w:r>
    </w:p>
    <w:p w14:paraId="654E5555">
      <w:pPr>
        <w:spacing w:after="0" w:line="240" w:lineRule="auto"/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9"/>
        <w:gridCol w:w="3113"/>
      </w:tblGrid>
      <w:tr w14:paraId="2BF636D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9" w:type="dxa"/>
          </w:tcPr>
          <w:p w14:paraId="092C9B03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Naziv izvora financiranja</w:t>
            </w:r>
          </w:p>
        </w:tc>
        <w:tc>
          <w:tcPr>
            <w:tcW w:w="3113" w:type="dxa"/>
          </w:tcPr>
          <w:p w14:paraId="0F43829B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Iznos</w:t>
            </w:r>
          </w:p>
        </w:tc>
      </w:tr>
      <w:tr w14:paraId="4EA703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9" w:type="dxa"/>
          </w:tcPr>
          <w:p w14:paraId="1FA2E1B3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Opći prihodi i primici</w:t>
            </w:r>
          </w:p>
        </w:tc>
        <w:tc>
          <w:tcPr>
            <w:tcW w:w="3113" w:type="dxa"/>
          </w:tcPr>
          <w:p w14:paraId="46B952B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-665.371,20 EUR</w:t>
            </w:r>
          </w:p>
        </w:tc>
      </w:tr>
      <w:tr w14:paraId="71E819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9" w:type="dxa"/>
          </w:tcPr>
          <w:p w14:paraId="7835C1F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Namjenski prihodi</w:t>
            </w:r>
          </w:p>
        </w:tc>
        <w:tc>
          <w:tcPr>
            <w:tcW w:w="3113" w:type="dxa"/>
          </w:tcPr>
          <w:p w14:paraId="415EEE48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 xml:space="preserve">-199.617,09 EUR </w:t>
            </w:r>
          </w:p>
        </w:tc>
      </w:tr>
      <w:tr w14:paraId="4537B5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9" w:type="dxa"/>
          </w:tcPr>
          <w:p w14:paraId="703A1D4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Pomoći</w:t>
            </w:r>
          </w:p>
        </w:tc>
        <w:tc>
          <w:tcPr>
            <w:tcW w:w="3113" w:type="dxa"/>
          </w:tcPr>
          <w:p w14:paraId="0083393E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-55.504,95 EUR</w:t>
            </w:r>
          </w:p>
        </w:tc>
      </w:tr>
      <w:tr w14:paraId="285D8D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9" w:type="dxa"/>
          </w:tcPr>
          <w:p w14:paraId="0536D48A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Prodaja nefinancijske imovine</w:t>
            </w:r>
          </w:p>
        </w:tc>
        <w:tc>
          <w:tcPr>
            <w:tcW w:w="3113" w:type="dxa"/>
          </w:tcPr>
          <w:p w14:paraId="23845FD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30.978,62 EUR</w:t>
            </w:r>
          </w:p>
        </w:tc>
      </w:tr>
    </w:tbl>
    <w:p w14:paraId="2802A6C7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</w:p>
    <w:p w14:paraId="35F78ADA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  <w:t>Utvrđeni manjak prihoda od nefinancijske imovine na računu 92225 u iznosu od 130.879,33 EUR po izvorima financiranja je slijedeći</w:t>
      </w:r>
    </w:p>
    <w:p w14:paraId="7496ACA7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9"/>
        <w:gridCol w:w="3113"/>
      </w:tblGrid>
      <w:tr w14:paraId="5F66E5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9" w:type="dxa"/>
          </w:tcPr>
          <w:p w14:paraId="536A6C3E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Naziv izvora financiranja</w:t>
            </w:r>
          </w:p>
        </w:tc>
        <w:tc>
          <w:tcPr>
            <w:tcW w:w="3113" w:type="dxa"/>
          </w:tcPr>
          <w:p w14:paraId="34C75DD1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Iznos</w:t>
            </w:r>
          </w:p>
        </w:tc>
      </w:tr>
      <w:tr w14:paraId="7FA2CB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5949" w:type="dxa"/>
          </w:tcPr>
          <w:p w14:paraId="098CCE9D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highlight w:val="yellow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Opći prihodi i primici</w:t>
            </w:r>
          </w:p>
        </w:tc>
        <w:tc>
          <w:tcPr>
            <w:tcW w:w="3113" w:type="dxa"/>
          </w:tcPr>
          <w:p w14:paraId="79DF1E85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-130.879,33 EUR</w:t>
            </w:r>
          </w:p>
        </w:tc>
      </w:tr>
    </w:tbl>
    <w:p w14:paraId="08C4F80A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</w:p>
    <w:p w14:paraId="3770AAE1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</w:p>
    <w:p w14:paraId="5238C49A">
      <w:pPr>
        <w:spacing w:after="0" w:line="240" w:lineRule="auto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</w:p>
    <w:p w14:paraId="076C3FA6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>Članak 3.</w:t>
      </w:r>
    </w:p>
    <w:p w14:paraId="4B1DE896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  <w:t xml:space="preserve">Višak prihoda poslovanja djelomično će se koristiti za pokriće manjka od nefinancijske imovine. </w:t>
      </w:r>
    </w:p>
    <w:p w14:paraId="3CAB27C4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</w:pPr>
    </w:p>
    <w:p w14:paraId="42C6E2F3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  <w:t xml:space="preserve">3.1. Višak prihoda poslovanja iz izvora namjenskih prihoda (410) koristi će se za pokriće manjka od nefinancijske imovine iz izvora (413) u iznosu od 149,35 EUR </w:t>
      </w:r>
    </w:p>
    <w:p w14:paraId="2C0242BA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  <w:t>3.2. Višak prihoda poslovanja iz izvora pomoći (520) koristi će se za pokriće manjka od nefinancijske imovine iz izvora (520) u iznosu od 55.504,95 EUR.</w:t>
      </w:r>
    </w:p>
    <w:p w14:paraId="776E6C9B">
      <w:pPr>
        <w:spacing w:after="0" w:line="240" w:lineRule="auto"/>
        <w:jc w:val="both"/>
        <w:rPr>
          <w:rFonts w:ascii="Times New Roman" w:hAnsi="Times New Roman" w:eastAsia="Times New Roman" w:cs="Times New Roman"/>
          <w:bCs/>
          <w:sz w:val="24"/>
          <w:szCs w:val="24"/>
          <w:highlight w:val="yellow"/>
          <w:lang w:eastAsia="hr-HR"/>
        </w:rPr>
      </w:pPr>
    </w:p>
    <w:p w14:paraId="62497B61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>Članak 4.</w:t>
      </w:r>
    </w:p>
    <w:p w14:paraId="389F33A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  <w:t xml:space="preserve">Nakon provedenih knjiženja utvrđuje </w:t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se sljedeća struktura rezultata poslovanja i kao takva bit će evidentirana u knjigovodstvenoj evidenciji:</w:t>
      </w:r>
    </w:p>
    <w:p w14:paraId="4E8C4157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Cs/>
          <w:sz w:val="24"/>
          <w:szCs w:val="24"/>
          <w:lang w:eastAsia="hr-HR"/>
        </w:rPr>
        <w:t>Višak prihoda poslovanja u iznosu od 1.064.853,11 EUR, čija struktura po izvorima financiranja je slijedeća:</w:t>
      </w:r>
    </w:p>
    <w:p w14:paraId="75B373A1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3"/>
        <w:gridCol w:w="2157"/>
      </w:tblGrid>
      <w:tr w14:paraId="61071B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3" w:type="dxa"/>
          </w:tcPr>
          <w:p w14:paraId="0067DD34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Naziv izvora financiranja</w:t>
            </w:r>
          </w:p>
        </w:tc>
        <w:tc>
          <w:tcPr>
            <w:tcW w:w="2157" w:type="dxa"/>
          </w:tcPr>
          <w:p w14:paraId="2B9DD528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Iznos</w:t>
            </w:r>
          </w:p>
        </w:tc>
      </w:tr>
      <w:tr w14:paraId="1A851B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3" w:type="dxa"/>
          </w:tcPr>
          <w:p w14:paraId="68A4A5F2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Opći prihodi i primici</w:t>
            </w:r>
          </w:p>
        </w:tc>
        <w:tc>
          <w:tcPr>
            <w:tcW w:w="2157" w:type="dxa"/>
          </w:tcPr>
          <w:p w14:paraId="0F7F1CEB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425.513,60 EUR</w:t>
            </w:r>
          </w:p>
        </w:tc>
      </w:tr>
      <w:tr w14:paraId="1B5E02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3" w:type="dxa"/>
          </w:tcPr>
          <w:p w14:paraId="7F76CCB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Namjenski prihodi</w:t>
            </w:r>
          </w:p>
        </w:tc>
        <w:tc>
          <w:tcPr>
            <w:tcW w:w="2157" w:type="dxa"/>
          </w:tcPr>
          <w:p w14:paraId="0B9983B2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235.002,43 EUR</w:t>
            </w:r>
          </w:p>
        </w:tc>
      </w:tr>
      <w:tr w14:paraId="0C48ECE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3" w:type="dxa"/>
          </w:tcPr>
          <w:p w14:paraId="00829EDF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Pomoći</w:t>
            </w:r>
          </w:p>
        </w:tc>
        <w:tc>
          <w:tcPr>
            <w:tcW w:w="2157" w:type="dxa"/>
          </w:tcPr>
          <w:p w14:paraId="2E15902D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338.838,11 EUR</w:t>
            </w:r>
          </w:p>
        </w:tc>
      </w:tr>
      <w:tr w14:paraId="178F7F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3" w:type="dxa"/>
          </w:tcPr>
          <w:p w14:paraId="64B56E76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Prodaja nefinancijske imovine</w:t>
            </w:r>
          </w:p>
        </w:tc>
        <w:tc>
          <w:tcPr>
            <w:tcW w:w="2157" w:type="dxa"/>
          </w:tcPr>
          <w:p w14:paraId="1F5B95D3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65.498,97 EUR</w:t>
            </w:r>
          </w:p>
        </w:tc>
      </w:tr>
    </w:tbl>
    <w:p w14:paraId="771AD551">
      <w:pPr>
        <w:spacing w:after="0" w:line="240" w:lineRule="auto"/>
        <w:ind w:left="72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6E4EF4D9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 xml:space="preserve">Manjak od nefinancijske imovine u iznosu od 833.860,32 EUR. </w:t>
      </w:r>
    </w:p>
    <w:p w14:paraId="6DF2F171">
      <w:pPr>
        <w:spacing w:after="0" w:line="240" w:lineRule="auto"/>
        <w:ind w:left="72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73"/>
        <w:gridCol w:w="2157"/>
      </w:tblGrid>
      <w:tr w14:paraId="005471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3" w:type="dxa"/>
          </w:tcPr>
          <w:p w14:paraId="00DB6DFD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Naziv izvora financiranja</w:t>
            </w:r>
          </w:p>
        </w:tc>
        <w:tc>
          <w:tcPr>
            <w:tcW w:w="2157" w:type="dxa"/>
          </w:tcPr>
          <w:p w14:paraId="7D174239">
            <w:pPr>
              <w:spacing w:after="0" w:line="240" w:lineRule="auto"/>
              <w:jc w:val="center"/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b/>
                <w:bCs/>
                <w:sz w:val="24"/>
                <w:szCs w:val="24"/>
                <w:lang w:eastAsia="hr-HR"/>
              </w:rPr>
              <w:t>Iznos</w:t>
            </w:r>
          </w:p>
        </w:tc>
      </w:tr>
      <w:tr w14:paraId="4AAA38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3" w:type="dxa"/>
          </w:tcPr>
          <w:p w14:paraId="4287BDDE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Opći prihodi i primici</w:t>
            </w:r>
          </w:p>
        </w:tc>
        <w:tc>
          <w:tcPr>
            <w:tcW w:w="2157" w:type="dxa"/>
          </w:tcPr>
          <w:p w14:paraId="6C8BCFA7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665.371,20 EUR</w:t>
            </w:r>
          </w:p>
        </w:tc>
      </w:tr>
      <w:tr w14:paraId="1BD3BAF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3" w:type="dxa"/>
          </w:tcPr>
          <w:p w14:paraId="7F417457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Namjenski prihodi</w:t>
            </w:r>
          </w:p>
        </w:tc>
        <w:tc>
          <w:tcPr>
            <w:tcW w:w="2157" w:type="dxa"/>
          </w:tcPr>
          <w:p w14:paraId="0D193A06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199.467,74 EUR</w:t>
            </w:r>
          </w:p>
        </w:tc>
      </w:tr>
      <w:tr w14:paraId="01C86B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673" w:type="dxa"/>
          </w:tcPr>
          <w:p w14:paraId="535FAA21">
            <w:pPr>
              <w:spacing w:after="0" w:line="240" w:lineRule="auto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Prodaja nefinancijske imovine</w:t>
            </w:r>
          </w:p>
        </w:tc>
        <w:tc>
          <w:tcPr>
            <w:tcW w:w="2157" w:type="dxa"/>
          </w:tcPr>
          <w:p w14:paraId="180E9074">
            <w:pPr>
              <w:spacing w:after="0" w:line="240" w:lineRule="auto"/>
              <w:jc w:val="right"/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lang w:eastAsia="hr-HR"/>
              </w:rPr>
              <w:t>-30.978,62 EUR</w:t>
            </w:r>
          </w:p>
        </w:tc>
      </w:tr>
    </w:tbl>
    <w:p w14:paraId="6572D77A">
      <w:pPr>
        <w:spacing w:after="0" w:line="240" w:lineRule="auto"/>
        <w:ind w:left="72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72C640D7">
      <w:pPr>
        <w:spacing w:after="0" w:line="240" w:lineRule="auto"/>
        <w:ind w:left="72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6B1A7ED1">
      <w:pPr>
        <w:spacing w:after="0" w:line="240" w:lineRule="auto"/>
        <w:ind w:left="720"/>
        <w:contextualSpacing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398003B5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7F1B11F0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4C8C2690"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hr-HR"/>
        </w:rPr>
        <w:t>Članak 5.</w:t>
      </w:r>
    </w:p>
    <w:p w14:paraId="7F50F237">
      <w:pPr>
        <w:spacing w:after="0" w:line="240" w:lineRule="auto"/>
        <w:ind w:firstLine="708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>Ova Odluka stupa na snagu osam dana od dana objave u Glasniku Općine Bebrina.</w:t>
      </w:r>
    </w:p>
    <w:p w14:paraId="5F69276F">
      <w:pPr>
        <w:spacing w:after="0" w:line="240" w:lineRule="auto"/>
        <w:jc w:val="center"/>
        <w:rPr>
          <w:rFonts w:ascii="Times New Roman" w:hAnsi="Times New Roman" w:eastAsia="Times New Roman" w:cs="Times New Roman"/>
          <w:i/>
          <w:iCs/>
          <w:szCs w:val="24"/>
          <w:lang w:eastAsia="hr-HR"/>
        </w:rPr>
      </w:pPr>
    </w:p>
    <w:p w14:paraId="038A1847">
      <w:pPr>
        <w:spacing w:after="0" w:line="240" w:lineRule="auto"/>
        <w:jc w:val="center"/>
        <w:rPr>
          <w:rFonts w:ascii="Times New Roman" w:hAnsi="Times New Roman" w:eastAsia="Times New Roman" w:cs="Times New Roman"/>
          <w:szCs w:val="24"/>
          <w:lang w:eastAsia="hr-HR"/>
        </w:rPr>
      </w:pPr>
      <w:r>
        <w:rPr>
          <w:rFonts w:ascii="Times New Roman" w:hAnsi="Times New Roman" w:eastAsia="Times New Roman" w:cs="Times New Roman"/>
          <w:szCs w:val="24"/>
          <w:lang w:eastAsia="hr-HR"/>
        </w:rPr>
        <w:t xml:space="preserve">OPĆINSKO VIJEĆE </w:t>
      </w:r>
    </w:p>
    <w:p w14:paraId="796389BD">
      <w:pPr>
        <w:spacing w:after="0" w:line="240" w:lineRule="auto"/>
        <w:jc w:val="center"/>
        <w:rPr>
          <w:rFonts w:ascii="Times New Roman" w:hAnsi="Times New Roman" w:eastAsia="Times New Roman" w:cs="Times New Roman"/>
          <w:szCs w:val="24"/>
          <w:lang w:eastAsia="hr-HR"/>
        </w:rPr>
      </w:pPr>
      <w:r>
        <w:rPr>
          <w:rFonts w:ascii="Times New Roman" w:hAnsi="Times New Roman" w:eastAsia="Times New Roman" w:cs="Times New Roman"/>
          <w:szCs w:val="24"/>
          <w:lang w:eastAsia="hr-HR"/>
        </w:rPr>
        <w:t>OPĆINE BEBRINA</w:t>
      </w:r>
    </w:p>
    <w:p w14:paraId="7AA80461"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3D81B347">
      <w:pPr>
        <w:spacing w:after="0" w:line="240" w:lineRule="auto"/>
        <w:jc w:val="both"/>
        <w:rPr>
          <w:rFonts w:ascii="Times New Roman" w:hAnsi="Times New Roman" w:eastAsia="Times New Roman" w:cs="Times New Roman"/>
          <w:sz w:val="24"/>
          <w:szCs w:val="24"/>
          <w:lang w:eastAsia="hr-HR"/>
        </w:rPr>
      </w:pPr>
    </w:p>
    <w:p w14:paraId="3A55330F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ab/>
      </w:r>
      <w:r>
        <w:rPr>
          <w:rFonts w:ascii="Times New Roman" w:hAnsi="Times New Roman" w:eastAsia="Times New Roman" w:cs="Times New Roman"/>
          <w:sz w:val="24"/>
          <w:szCs w:val="24"/>
          <w:lang w:eastAsia="hr-HR"/>
        </w:rPr>
        <w:tab/>
      </w:r>
    </w:p>
    <w:p w14:paraId="719492CC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3270250</wp:posOffset>
                </wp:positionH>
                <wp:positionV relativeFrom="paragraph">
                  <wp:posOffset>11430</wp:posOffset>
                </wp:positionV>
                <wp:extent cx="3032760" cy="1404620"/>
                <wp:effectExtent l="0" t="0" r="0" b="8255"/>
                <wp:wrapSquare wrapText="bothSides"/>
                <wp:docPr id="8" name="Tekstni okvi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3276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69B7A20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PREDSJEDNIK OPĆINSKOG VIJEĆA</w:t>
                            </w:r>
                          </w:p>
                          <w:p w14:paraId="0CC8D9EE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14:paraId="64FBEFC6">
                            <w:pPr>
                              <w:spacing w:after="0"/>
                              <w:jc w:val="center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Mijo Belegić, ing.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id="Tekstni okvir 2" o:spid="_x0000_s1026" o:spt="202" type="#_x0000_t202" style="position:absolute;left:0pt;margin-left:257.5pt;margin-top:0.9pt;height:110.6pt;width:238.8pt;mso-wrap-distance-bottom:3.6pt;mso-wrap-distance-left:9pt;mso-wrap-distance-right:9pt;mso-wrap-distance-top:3.6pt;z-index:251659264;mso-width-relative:page;mso-height-relative:margin;mso-height-percent:200;" fillcolor="#FFFFFF" filled="t" stroked="f" coordsize="21600,21600" o:gfxdata="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">
                <v:fill on="t" focussize="0,0"/>
                <v:stroke on="f" miterlimit="8" joinstyle="miter"/>
                <v:imagedata o:title=""/>
                <o:lock v:ext="edit" aspectratio="f"/>
                <v:textbox style="mso-fit-shape-to-text:t;">
                  <w:txbxContent>
                    <w:p w14:paraId="469B7A20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PREDSJEDNIK OPĆINSKOG VIJEĆA</w:t>
                      </w:r>
                    </w:p>
                    <w:p w14:paraId="0CC8D9EE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14:paraId="64FBEFC6">
                      <w:pPr>
                        <w:spacing w:after="0"/>
                        <w:jc w:val="center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Mijo Belegić, ing.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6BD09FD5">
      <w:pPr>
        <w:rPr>
          <w:rFonts w:ascii="Times New Roman" w:hAnsi="Times New Roman" w:cs="Times New Roman"/>
          <w:b/>
          <w:sz w:val="24"/>
          <w:szCs w:val="24"/>
        </w:rPr>
      </w:pPr>
    </w:p>
    <w:p w14:paraId="3D9094CE">
      <w:pPr>
        <w:rPr>
          <w:rFonts w:ascii="Times New Roman" w:hAnsi="Times New Roman" w:cs="Times New Roman"/>
          <w:b/>
          <w:sz w:val="24"/>
          <w:szCs w:val="24"/>
        </w:rPr>
      </w:pPr>
    </w:p>
    <w:p w14:paraId="72EEB0C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DOSTAVITI</w:t>
      </w:r>
    </w:p>
    <w:p w14:paraId="4A01726D">
      <w:pPr>
        <w:pStyle w:val="1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Jedinstveni upravni odjel</w:t>
      </w:r>
    </w:p>
    <w:p w14:paraId="4B956DB2">
      <w:pPr>
        <w:pStyle w:val="1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Glasnik Općine Bebrina</w:t>
      </w:r>
    </w:p>
    <w:p w14:paraId="4549FD5A">
      <w:pPr>
        <w:pStyle w:val="1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Ministarstvo financija</w:t>
      </w:r>
    </w:p>
    <w:p w14:paraId="6864748F">
      <w:pPr>
        <w:pStyle w:val="11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Pismohrana.</w:t>
      </w:r>
    </w:p>
    <w:sectPr>
      <w:pgSz w:w="11906" w:h="16838"/>
      <w:pgMar w:top="993" w:right="1417" w:bottom="1417" w:left="1417" w:header="1276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EE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EE"/>
    <w:family w:val="swiss"/>
    <w:pitch w:val="default"/>
    <w:sig w:usb0="E4002EFF" w:usb1="C000E47F" w:usb2="00000009" w:usb3="00000000" w:csb0="200001FF" w:csb1="00000000"/>
  </w:font>
  <w:font w:name="Courier New">
    <w:panose1 w:val="02070309020205020404"/>
    <w:charset w:val="EE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55D74AE"/>
    <w:multiLevelType w:val="multilevel"/>
    <w:tmpl w:val="655D74AE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88C12E8"/>
    <w:multiLevelType w:val="multilevel"/>
    <w:tmpl w:val="688C12E8"/>
    <w:lvl w:ilvl="0" w:tentative="0">
      <w:start w:val="3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entative="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entative="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entative="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entative="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entative="0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entative="0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entative="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entative="0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21F8"/>
    <w:rsid w:val="00002718"/>
    <w:rsid w:val="0001162B"/>
    <w:rsid w:val="00046DCA"/>
    <w:rsid w:val="000759E3"/>
    <w:rsid w:val="001022D1"/>
    <w:rsid w:val="00116744"/>
    <w:rsid w:val="0013394F"/>
    <w:rsid w:val="00154C32"/>
    <w:rsid w:val="00172521"/>
    <w:rsid w:val="001A25A3"/>
    <w:rsid w:val="001A4F6D"/>
    <w:rsid w:val="001A63BE"/>
    <w:rsid w:val="001B10EC"/>
    <w:rsid w:val="001B4370"/>
    <w:rsid w:val="001B6881"/>
    <w:rsid w:val="00212B01"/>
    <w:rsid w:val="002424A3"/>
    <w:rsid w:val="002450BA"/>
    <w:rsid w:val="00256095"/>
    <w:rsid w:val="0025726C"/>
    <w:rsid w:val="00262A3A"/>
    <w:rsid w:val="0027476C"/>
    <w:rsid w:val="002A3DB6"/>
    <w:rsid w:val="002D3BC6"/>
    <w:rsid w:val="00327957"/>
    <w:rsid w:val="00335E4A"/>
    <w:rsid w:val="003E312C"/>
    <w:rsid w:val="0043195A"/>
    <w:rsid w:val="00434B58"/>
    <w:rsid w:val="00467ABF"/>
    <w:rsid w:val="004A6FBD"/>
    <w:rsid w:val="004B1AA9"/>
    <w:rsid w:val="00506CF3"/>
    <w:rsid w:val="00511D45"/>
    <w:rsid w:val="00544AE0"/>
    <w:rsid w:val="005667E2"/>
    <w:rsid w:val="005854F1"/>
    <w:rsid w:val="005C2934"/>
    <w:rsid w:val="005C2ABC"/>
    <w:rsid w:val="005F5E15"/>
    <w:rsid w:val="006401F0"/>
    <w:rsid w:val="00663AB0"/>
    <w:rsid w:val="00680125"/>
    <w:rsid w:val="006905C3"/>
    <w:rsid w:val="006B1382"/>
    <w:rsid w:val="006F02D9"/>
    <w:rsid w:val="00794C80"/>
    <w:rsid w:val="007D6A9A"/>
    <w:rsid w:val="0082314E"/>
    <w:rsid w:val="008D44E6"/>
    <w:rsid w:val="00911D0C"/>
    <w:rsid w:val="00916A54"/>
    <w:rsid w:val="0092493E"/>
    <w:rsid w:val="00962EEB"/>
    <w:rsid w:val="00964832"/>
    <w:rsid w:val="009947C6"/>
    <w:rsid w:val="009D4F5D"/>
    <w:rsid w:val="009E7BAA"/>
    <w:rsid w:val="00A0116D"/>
    <w:rsid w:val="00A116D8"/>
    <w:rsid w:val="00A32B04"/>
    <w:rsid w:val="00A514B4"/>
    <w:rsid w:val="00A74F54"/>
    <w:rsid w:val="00A95FE3"/>
    <w:rsid w:val="00AC2EB9"/>
    <w:rsid w:val="00AE4504"/>
    <w:rsid w:val="00B06B9D"/>
    <w:rsid w:val="00B3521C"/>
    <w:rsid w:val="00B7290D"/>
    <w:rsid w:val="00BA7CC7"/>
    <w:rsid w:val="00BC2A96"/>
    <w:rsid w:val="00BE3315"/>
    <w:rsid w:val="00C04FFA"/>
    <w:rsid w:val="00C81414"/>
    <w:rsid w:val="00D26EF0"/>
    <w:rsid w:val="00D85009"/>
    <w:rsid w:val="00D871B2"/>
    <w:rsid w:val="00E873FF"/>
    <w:rsid w:val="00EE31C9"/>
    <w:rsid w:val="00F10888"/>
    <w:rsid w:val="00FA68BA"/>
    <w:rsid w:val="00FB22D8"/>
    <w:rsid w:val="00FD21F8"/>
    <w:rsid w:val="2A753C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hr-HR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0"/>
    <w:semiHidden/>
    <w:unhideWhenUsed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link w:val="9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paragraph" w:styleId="6">
    <w:name w:val="header"/>
    <w:basedOn w:val="1"/>
    <w:link w:val="8"/>
    <w:unhideWhenUsed/>
    <w:uiPriority w:val="99"/>
    <w:pPr>
      <w:tabs>
        <w:tab w:val="center" w:pos="4536"/>
        <w:tab w:val="right" w:pos="9072"/>
      </w:tabs>
      <w:spacing w:after="0" w:line="240" w:lineRule="auto"/>
    </w:pPr>
  </w:style>
  <w:style w:type="table" w:styleId="7">
    <w:name w:val="Table Grid"/>
    <w:basedOn w:val="3"/>
    <w:uiPriority w:val="0"/>
    <w:pPr>
      <w:spacing w:after="0" w:line="240" w:lineRule="auto"/>
    </w:pPr>
    <w:rPr>
      <w:rFonts w:ascii="Times New Roman" w:hAnsi="Times New Roman" w:eastAsia="Times New Roman" w:cs="Times New Roman"/>
      <w:sz w:val="20"/>
      <w:szCs w:val="20"/>
      <w:lang w:eastAsia="hr-HR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Zaglavlje Char"/>
    <w:basedOn w:val="2"/>
    <w:link w:val="6"/>
    <w:uiPriority w:val="99"/>
  </w:style>
  <w:style w:type="character" w:customStyle="1" w:styleId="9">
    <w:name w:val="Podnožje Char"/>
    <w:basedOn w:val="2"/>
    <w:link w:val="5"/>
    <w:uiPriority w:val="99"/>
  </w:style>
  <w:style w:type="character" w:customStyle="1" w:styleId="10">
    <w:name w:val="Tekst balončića Char"/>
    <w:basedOn w:val="2"/>
    <w:link w:val="4"/>
    <w:semiHidden/>
    <w:uiPriority w:val="99"/>
    <w:rPr>
      <w:rFonts w:ascii="Segoe UI" w:hAnsi="Segoe UI" w:cs="Segoe UI"/>
      <w:sz w:val="18"/>
      <w:szCs w:val="18"/>
    </w:rPr>
  </w:style>
  <w:style w:type="paragraph" w:styleId="11">
    <w:name w:val="List Paragraph"/>
    <w:basedOn w:val="1"/>
    <w:qFormat/>
    <w:uiPriority w:val="34"/>
    <w:pPr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524</Words>
  <Characters>2988</Characters>
  <Lines>24</Lines>
  <Paragraphs>7</Paragraphs>
  <TotalTime>193</TotalTime>
  <ScaleCrop>false</ScaleCrop>
  <LinksUpToDate>false</LinksUpToDate>
  <CharactersWithSpaces>3505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2023-06-02T06:35:00Z</dcterms:created>
  <dc:creator>Municipal d.o.o.</dc:creator>
  <cp:lastModifiedBy>proce</cp:lastModifiedBy>
  <cp:lastPrinted>2024-06-02T11:24:00Z</cp:lastPrinted>
  <dcterms:modified xsi:type="dcterms:W3CDTF">2026-06-16T11:34:32Z</dcterms:modified>
  <cp:revision>19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0341DCAE893E4DAC980C27CB8ABAD02B_12</vt:lpwstr>
  </property>
</Properties>
</file>