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Types>
</file>

<file path=_rels/.rels>&#65279;<?xml version="1.0" encoding="utf-8"?><Relationships xmlns="http://schemas.openxmlformats.org/package/2006/relationships"><Relationship Type="http://schemas.openxmlformats.org/officeDocument/2006/relationships/officeDocument" Target="/word/document.xml" Id="R84a46c2986714cc5" /></Relationships>
</file>

<file path=word/document.xml><?xml version="1.0" encoding="utf-8"?>
<w:document xmlns:w="http://schemas.openxmlformats.org/wordprocessingml/2006/main">
  <w:body>
    <w:tbl>
      <w:tblPr>
        <w:tblW w:w="9000" w:type="dxa"/>
        <w:tblBorders>
          <w:top w:val="nil"/>
          <w:bottom w:val="nil"/>
          <w:left w:val="nil"/>
          <w:right w:val="nil"/>
          <w:insideH w:val="nil"/>
          <w:insideV w:val="nil"/>
        </w:tblBorders>
        <w:tblCellSpacing w:w="60" w:type="dxa"/>
        <w:shd w:val="clear" w:color="auto" w:fill="E7F0F9"/>
      </w:tblPr>
      <w:tblGrid>
        <w:gridCol w:w="1200"/>
        <w:gridCol w:w="4500"/>
      </w:tblGrid>
      <w:tr>
        <w:tc>
          <w:tcPr>
            <w:tcW w:w="1200" w:type="pct"/>
            <w:shd w:val="clear" w:color="auto" w:fill="E7F0F9"/>
          </w:tcPr>
          <w:p>
            <w:pPr>
              <w:spacing w:before="0" w:after="0" w:line="240" w:lineRule="auto"/>
              <w:jc w:val="left"/>
            </w:pPr>
            <w:r>
              <w:rPr>
                <w:b/>
              </w:rPr>
              <w:t xml:space="preserve">RKP broj</w:t>
            </w:r>
          </w:p>
        </w:tc>
        <w:tc>
          <w:tcPr>
            <w:shd w:val="clear" w:color="auto" w:fill="E7F0F9"/>
          </w:tcPr>
          <w:p>
            <w:pPr>
              <w:spacing w:before="0" w:after="0" w:line="240" w:lineRule="auto"/>
              <w:jc w:val="left"/>
            </w:pPr>
            <w:r>
              <w:t xml:space="preserve">36645</w:t>
            </w:r>
          </w:p>
        </w:tc>
      </w:tr>
      <w:tr>
        <w:tc>
          <w:tcPr>
            <w:tcW w:w="1200" w:type="pct"/>
            <w:shd w:val="clear" w:color="auto" w:fill="E7F0F9"/>
          </w:tcPr>
          <w:p>
            <w:pPr>
              <w:spacing w:before="0" w:after="0" w:line="240" w:lineRule="auto"/>
              <w:jc w:val="left"/>
            </w:pPr>
            <w:r>
              <w:rPr>
                <w:b/>
              </w:rPr>
              <w:t xml:space="preserve">Naziv obveznika</w:t>
            </w:r>
          </w:p>
        </w:tc>
        <w:tc>
          <w:tcPr>
            <w:shd w:val="clear" w:color="auto" w:fill="E7F0F9"/>
          </w:tcPr>
          <w:p>
            <w:pPr>
              <w:spacing w:before="0" w:after="0" w:line="240" w:lineRule="auto"/>
              <w:jc w:val="left"/>
            </w:pPr>
            <w:r>
              <w:t xml:space="preserve">OPĆINA BEBRINA</w:t>
            </w:r>
          </w:p>
        </w:tc>
      </w:tr>
      <w:tr>
        <w:tc>
          <w:tcPr>
            <w:tcW w:w="1200" w:type="pct"/>
            <w:shd w:val="clear" w:color="auto" w:fill="E7F0F9"/>
          </w:tcPr>
          <w:p>
            <w:pPr>
              <w:spacing w:before="0" w:after="0" w:line="240" w:lineRule="auto"/>
              <w:jc w:val="left"/>
            </w:pPr>
            <w:r>
              <w:rPr>
                <w:b/>
              </w:rPr>
              <w:t xml:space="preserve">Razina</w:t>
            </w:r>
          </w:p>
        </w:tc>
        <w:tc>
          <w:tcPr>
            <w:shd w:val="clear" w:color="auto" w:fill="E7F0F9"/>
          </w:tcPr>
          <w:p>
            <w:pPr>
              <w:spacing w:before="0" w:after="0" w:line="240" w:lineRule="auto"/>
              <w:jc w:val="left"/>
            </w:pPr>
            <w:r>
              <w:t xml:space="preserve">22</w:t>
            </w:r>
          </w:p>
        </w:tc>
      </w:tr>
    </w:tbl>
    <w:p>
      <w:r>
        <w:br/>
      </w:r>
    </w:p>
    <w:p>
      <w:pPr>
        <w:jc w:val="center"/>
        <w:pStyle w:val="Normal"/>
        <w:spacing w:line="240" w:lineRule="auto"/>
      </w:pPr>
      <w:r>
        <w:rPr>
          <w:b/>
          <w:sz w:val="28"/>
          <w:rFonts w:ascii="Times New Roman" w:hAnsi="Times New Roman"/>
        </w:rPr>
        <w:t xml:space="preserve">BILJEŠKE UZ FINANCIJSKE IZVJEŠTAJE</w:t>
      </w:r>
    </w:p>
    <w:p>
      <w:pPr>
        <w:jc w:val="center"/>
        <w:pStyle w:val="Normal"/>
        <w:spacing w:line="240" w:lineRule="auto"/>
      </w:pPr>
      <w:r>
        <w:rPr>
          <w:b/>
          <w:sz w:val="28"/>
          <w:rFonts w:ascii="Times New Roman" w:hAnsi="Times New Roman"/>
        </w:rPr>
        <w:t xml:space="preserve">ZA RAZDOBLJE</w:t>
      </w:r>
    </w:p>
    <w:p>
      <w:pPr>
        <w:jc w:val="center"/>
        <w:pStyle w:val="Normal"/>
        <w:spacing w:line="240" w:lineRule="auto"/>
      </w:pPr>
      <w:r>
        <w:rPr>
          <w:b/>
          <w:sz w:val="28"/>
          <w:rFonts w:ascii="Times New Roman" w:hAnsi="Times New Roman"/>
        </w:rPr>
        <w:t xml:space="preserve">I - XII 2025.</w:t>
      </w:r>
    </w:p>
    <w:p/>
    <w:p>
      <w:pPr>
        <w:jc w:val="center"/>
        <w:pStyle w:val="Normal"/>
        <w:spacing w:line="240" w:lineRule="auto"/>
        <w:keepNext/>
      </w:pPr>
      <w:r>
        <w:rPr>
          <w:b/>
          <w:sz w:val="28"/>
          <w:rFonts w:ascii="Times New Roman" w:hAnsi="Times New Roman"/>
        </w:rPr>
        <w:t xml:space="preserve">Izvještaj o prihodima i rashodima, primicima i izdacima</w:t>
      </w:r>
    </w:p>
    <w:p>
      <w:pPr>
        <w:jc w:val="center"/>
        <w:pStyle w:val="Normal"/>
        <w:spacing w:line="240" w:lineRule="auto"/>
        <w:keepNext/>
      </w:pPr>
      <w:r>
        <w:rPr>
          <w:sz w:val="28"/>
          <w:rFonts w:ascii="Times New Roman" w:hAnsi="Times New Roman"/>
        </w:rPr>
        <w:t xml:space="preserve">Bilješka 1.</w:t>
      </w:r>
    </w:p>
    <w:tbl>
      <w:tblPr>
        <w:tblBorders>
          <w:top w:val="single" w:color="BABABA" w:sz="12"/>
          <w:bottom w:val="single" w:color="BABABA" w:sz="12"/>
          <w:left w:val="single" w:color="BABABA" w:sz="12"/>
          <w:right w:val="single" w:color="BABABA" w:sz="12"/>
          <w:insideH w:val="single" w:color="BABABA" w:sz="8"/>
          <w:insideV w:val="single" w:color="DADADA" w:sz="8"/>
        </w:tblBorders>
        <w:tblW w:w="0" w:type="auto"/>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POSLOVANJA (šifre 61+62+63+64+65+66+67+68)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3.009.517,32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3.018.723,87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100,3</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POSLOVANJA (šifre 31+32+34+35+36+37+38)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1.471.300,95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1.688.835,08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114,8</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POSLOVANJA (šifre 6-Z005)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1.538.216,37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1.329.888,79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86,5</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nefinancijske imovine (šifre 71+72+73+74)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13.295,33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17.683,29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nabavu nefinancijske imovine (šifre 41+42+43+44+45)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1.628.910,62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1.325.769,40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81,4</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MANJAK PRIHODA OD NEFINANCIJSKE IMOVINE (šifre 4-7)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Y002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1.615.615,29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1.308.086,11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81,0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Primici od financijske imovine i zaduživanja (šifre 81+82+83+84+85)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Izdaci za financijsku imovinu i otplate zajmova (šifre 51+52+53+54+55)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30.146,32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VIŠAK/MANJAK PRIMITAKA OD FINANCIJSKE IMOVINE I ZADUŽIVANJA (šifre 8-5, 5-8)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X003, Y003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30.146,32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VIŠAK PRIHODA I PRIMITAKA (šifre X678-Y345)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b/>
              </w:rPr>
              <w:t>X005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21.802,68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b/>
              </w:rPr>
              <w:t>-</w:t>
            </w:r>
          </w:p>
        </w:tc>
      </w:tr>
    </w:tbl>
    <w:p>
      <w:pPr>
        <w:spacing w:before="0" w:after="0"/>
      </w:pPr>
    </w:p>
    <w:p>
      <w:pPr>
        <w:jc w:val="both"/>
      </w:pPr>
      <w:r>
        <w:t xml:space="preserve">U izvještajnom razdoblju ostvaren je višak prihoda poslovanja koji je nastao uplatom poreznih prihoda i prihoda iz redovnog poslovanja te uplatama po odobrenim sredstvima iz državnog proračuna temeljem prijenosa EU sredstava prema Ugovorima za financiranje projekata.  Manjak prihoda od nefinancijske imovine dijelom će se pokriti evidentiranjem obveznih financijskih korekcija.  </w:t>
      </w:r>
    </w:p>
    <w:p>
      <w:pPr>
        <w:jc w:val="both"/>
      </w:pPr>
      <w:r>
        <w:t xml:space="preserve">Preneseni višak iz rezultata poslovanja za 2024. iznosi 209.028,45 EUR te sa uključenim korekcijama tijekom godine ukupno iznosi 209.190,11 EUR.</w:t>
      </w:r>
    </w:p>
    <w:p>
      <w:pPr>
        <w:jc w:val="both"/>
      </w:pPr>
      <w:r>
        <w:t xml:space="preserve">Ukupan rezultat na kraju proračunske godine s uključenim viškom poslovanja na kraju izvještajnog razdoblja od 21.802,68 EUR daje ukupan višak prihoda poslovanja u iznosu od iznosi 230.992,79 EUR raspoređen na višak od prihoda poslovanja u iznosu od 1.120.507,41 EUR i manjak prihoda od nefinancijske imovine u iznosu od 889.514,62 EUR.</w:t>
      </w:r>
    </w:p>
    <w:p>
      <w:r>
        <w:br/>
      </w:r>
    </w:p>
    <w:p>
      <w:pPr>
        <w:jc w:val="center"/>
        <w:pStyle w:val="Normal"/>
        <w:spacing w:line="240" w:lineRule="auto"/>
        <w:keepNext/>
      </w:pPr>
      <w:r>
        <w:rPr>
          <w:sz w:val="28"/>
          <w:rFonts w:ascii="Times New Roman" w:hAnsi="Times New Roman"/>
        </w:rPr>
        <w:t xml:space="preserve">Bilješka 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 na dohodak (šifre 6111 do 6116 - 6117 - 6119)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534.508,46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552.847,84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103,4</w:t>
            </w:r>
          </w:p>
        </w:tc>
      </w:tr>
    </w:tbl>
    <w:p>
      <w:pPr>
        <w:spacing w:before="0" w:after="0"/>
      </w:pPr>
    </w:p>
    <w:p>
      <w:pPr>
        <w:jc w:val="both"/>
      </w:pPr>
      <w:r>
        <w:t xml:space="preserve">Iskazani iznos je veći u odnosu na isto izvještajno razdoblje prethodne godine. Razlika u prihodu je odraz priljeva poreznih prihoda i izvršenog povrata poreza u izvještajnom razdoblju.</w:t>
      </w:r>
    </w:p>
    <w:p/>
    <w:p>
      <w:pPr>
        <w:jc w:val="center"/>
        <w:pStyle w:val="Normal"/>
        <w:spacing w:line="240" w:lineRule="auto"/>
        <w:keepNext/>
      </w:pPr>
      <w:r>
        <w:rPr>
          <w:sz w:val="28"/>
          <w:rFonts w:ascii="Times New Roman" w:hAnsi="Times New Roman"/>
        </w:rPr>
        <w:t xml:space="preserve">Bilješka 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Porezi na imovinu (šifre 6131 do 6135)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18.239,44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24.515,68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134,4</w:t>
            </w:r>
          </w:p>
        </w:tc>
      </w:tr>
    </w:tbl>
    <w:p>
      <w:pPr>
        <w:spacing w:before="0" w:after="0"/>
      </w:pPr>
    </w:p>
    <w:p>
      <w:pPr>
        <w:jc w:val="both"/>
      </w:pPr>
      <w:r>
        <w:t xml:space="preserve">Ostvaren je veći prihod u odnosu na isto izvještajno razdoblje prethodne godine, a odraz je većeg prihoda od prometa nekretninama na području Općine Bebrina i naplati poreza kojeg utvrđuje i provodi Porezna uprava te uvođenja novog prihoda na nekretnine.</w:t>
      </w:r>
    </w:p>
    <w:p/>
    <w:p>
      <w:pPr>
        <w:jc w:val="center"/>
        <w:pStyle w:val="Normal"/>
        <w:spacing w:line="240" w:lineRule="auto"/>
        <w:keepNext/>
      </w:pPr>
      <w:r>
        <w:rPr>
          <w:sz w:val="28"/>
          <w:rFonts w:ascii="Times New Roman" w:hAnsi="Times New Roman"/>
        </w:rPr>
        <w:t xml:space="preserve">Bilješka 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proračunu i izvanproračunskim korisnicima iz drugih proračuna (šifre 6331+6332)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824.408,22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202.069,33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24,5</w:t>
            </w:r>
          </w:p>
        </w:tc>
      </w:tr>
    </w:tbl>
    <w:p>
      <w:pPr>
        <w:spacing w:before="0" w:after="0"/>
      </w:pPr>
    </w:p>
    <w:p>
      <w:pPr>
        <w:jc w:val="both"/>
      </w:pPr>
      <w:r>
        <w:t xml:space="preserve">Iskazani iznos je manji u odnosu na isto izvještajno razdoblje prethodne godine, a razlog je evidentiranje pomoći fiskalnog izravnanja na konto 6353.</w:t>
      </w:r>
    </w:p>
    <w:p/>
    <w:p>
      <w:pPr>
        <w:jc w:val="center"/>
        <w:pStyle w:val="Normal"/>
        <w:spacing w:line="240" w:lineRule="auto"/>
        <w:keepNext/>
      </w:pPr>
      <w:r>
        <w:rPr>
          <w:sz w:val="28"/>
          <w:rFonts w:ascii="Times New Roman" w:hAnsi="Times New Roman"/>
        </w:rPr>
        <w:t xml:space="preserve">Bilješka 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izravnanja za decentralizirane funkcije i fiskalnog izravnanja (šifre 6351 do 6353)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747.724,28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Evidentiran je prihod od pomoći iz državnog proračuna za pomoć fiskalnog izravnanja. U istom razdoblju prethodne godine nema ostvarenja iz razloga što se konto 6353 koristi od 2025. godine.</w:t>
      </w:r>
    </w:p>
    <w:p/>
    <w:p>
      <w:pPr>
        <w:jc w:val="center"/>
        <w:pStyle w:val="Normal"/>
        <w:spacing w:line="240" w:lineRule="auto"/>
        <w:keepNext/>
      </w:pPr>
      <w:r>
        <w:rPr>
          <w:sz w:val="28"/>
          <w:rFonts w:ascii="Times New Roman" w:hAnsi="Times New Roman"/>
        </w:rPr>
        <w:t xml:space="preserve">Bilješka 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temeljem prijenosa EU sredstava (šifre 6381+6382)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1.319.356,15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1.338.263,73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101,4</w:t>
            </w:r>
          </w:p>
        </w:tc>
      </w:tr>
    </w:tbl>
    <w:p>
      <w:pPr>
        <w:spacing w:before="0" w:after="0"/>
      </w:pPr>
    </w:p>
    <w:p>
      <w:pPr>
        <w:jc w:val="both"/>
      </w:pPr>
      <w:r>
        <w:t xml:space="preserve">Iskazani iznos se odnosi na prihode od tekućih i kapitalnih pomoći temeljem prijenosa EU sredstava i veći su u odnosu na isto razdoblje prethodne godine iz razloga što su uplaćeni odobreni ZNS-ovi za projekte koje provodi Općina Bebrina.</w:t>
      </w:r>
    </w:p>
    <w:p/>
    <w:p>
      <w:pPr>
        <w:jc w:val="center"/>
        <w:pStyle w:val="Normal"/>
        <w:spacing w:line="240" w:lineRule="auto"/>
        <w:keepNext/>
      </w:pPr>
      <w:r>
        <w:rPr>
          <w:sz w:val="28"/>
          <w:rFonts w:ascii="Times New Roman" w:hAnsi="Times New Roman"/>
        </w:rPr>
        <w:t xml:space="preserve">Bilješka 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imovine (šifre 641+642+643)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83.682,16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88.755,12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106,1</w:t>
            </w:r>
          </w:p>
        </w:tc>
      </w:tr>
    </w:tbl>
    <w:p>
      <w:pPr>
        <w:spacing w:before="0" w:after="0"/>
      </w:pPr>
    </w:p>
    <w:p>
      <w:pPr>
        <w:jc w:val="both"/>
      </w:pPr>
      <w:r>
        <w:t xml:space="preserve">Iskazani iznos je veći u odnosu na isto razdoblje prethodne godine, a povećanje prihoda se odnosi na naplatu zakupa poljoprivrednog zemljišta.</w:t>
      </w:r>
    </w:p>
    <w:p/>
    <w:p>
      <w:pPr>
        <w:jc w:val="center"/>
        <w:pStyle w:val="Normal"/>
        <w:spacing w:line="240" w:lineRule="auto"/>
        <w:keepNext/>
      </w:pPr>
      <w:r>
        <w:rPr>
          <w:sz w:val="28"/>
          <w:rFonts w:ascii="Times New Roman" w:hAnsi="Times New Roman"/>
        </w:rPr>
        <w:t xml:space="preserve">Bilješka 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upravnih i administrativnih pristojbi, pristojbi po posebnim propisima i naknada (šifre 651+652+653+654)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198.723,74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52.214,07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26,3</w:t>
            </w:r>
          </w:p>
        </w:tc>
      </w:tr>
    </w:tbl>
    <w:p>
      <w:pPr>
        <w:spacing w:before="0" w:after="0"/>
      </w:pPr>
    </w:p>
    <w:p>
      <w:pPr>
        <w:jc w:val="both"/>
      </w:pPr>
      <w:r>
        <w:t xml:space="preserve">Iskazani iznos je manji u odnosu na isto razdoblje prethodne godine, a smanjenje se odnosi se na prihod od doprinosa za šume koji je u istom razdoblju prethodne godine uplaćen u značajnijem iznosu.</w:t>
      </w:r>
    </w:p>
    <w:p/>
    <w:p>
      <w:pPr>
        <w:jc w:val="center"/>
        <w:pStyle w:val="Normal"/>
        <w:spacing w:line="240" w:lineRule="auto"/>
        <w:keepNext/>
      </w:pPr>
      <w:r>
        <w:rPr>
          <w:sz w:val="28"/>
          <w:rFonts w:ascii="Times New Roman" w:hAnsi="Times New Roman"/>
        </w:rPr>
        <w:t xml:space="preserve">Bilješka 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proizvoda i robe te pruženih usluga, prihodi od donacija te povrati po protestiranim jamstvima (šifre 661+663)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3.244,38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3.774,21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116,3</w:t>
            </w:r>
          </w:p>
        </w:tc>
      </w:tr>
    </w:tbl>
    <w:p>
      <w:pPr>
        <w:spacing w:before="0" w:after="0"/>
      </w:pPr>
    </w:p>
    <w:p>
      <w:pPr>
        <w:jc w:val="both"/>
      </w:pPr>
      <w:r>
        <w:t xml:space="preserve">Iskazani iznos se odnosi na prihod od Hrvatskih voda za naplatu Naknade za uređenje voda.</w:t>
      </w:r>
    </w:p>
    <w:p/>
    <w:p>
      <w:pPr>
        <w:jc w:val="center"/>
        <w:pStyle w:val="Normal"/>
        <w:spacing w:line="240" w:lineRule="auto"/>
        <w:keepNext/>
      </w:pPr>
      <w:r>
        <w:rPr>
          <w:sz w:val="28"/>
          <w:rFonts w:ascii="Times New Roman" w:hAnsi="Times New Roman"/>
        </w:rPr>
        <w:t xml:space="preserve">Bilješka 10.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Kazne, upravne mjere i ostali prihodi (šifre 681+683)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68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8.559,61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Prihod se odnosi na uplatu po sudskoj presudi i naplati ugovorene kazne od izvođača radova prema sklopljenom ugovoru.</w:t>
      </w:r>
    </w:p>
    <w:p/>
    <w:p>
      <w:pPr>
        <w:jc w:val="center"/>
        <w:pStyle w:val="Normal"/>
        <w:spacing w:line="240" w:lineRule="auto"/>
        <w:keepNext/>
      </w:pPr>
      <w:r>
        <w:rPr>
          <w:sz w:val="28"/>
          <w:rFonts w:ascii="Times New Roman" w:hAnsi="Times New Roman"/>
        </w:rPr>
        <w:t xml:space="preserve">Bilješka 11.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Plaće (bruto) (šifre 3111 do 3114)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195.609,34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304.307,78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155,6</w:t>
            </w:r>
          </w:p>
        </w:tc>
      </w:tr>
    </w:tbl>
    <w:p>
      <w:pPr>
        <w:spacing w:before="0" w:after="0"/>
      </w:pPr>
    </w:p>
    <w:p>
      <w:pPr>
        <w:jc w:val="both"/>
      </w:pPr>
      <w:r>
        <w:t xml:space="preserve">Iskazani iznos se odnosi na rashode za plaće (bruto) zaposlenih u općinskoj upravi i na projektu Radim i pomažem IV i veći su u odnosu na isto razdoblje prethodne godine zbog većih troškova zaposlenih uslijed povećanja osnovice i povećanja minimalne plaće za djelatnike na projektu Radim i pomažem IV.</w:t>
      </w:r>
    </w:p>
    <w:p/>
    <w:p>
      <w:pPr>
        <w:jc w:val="center"/>
        <w:pStyle w:val="Normal"/>
        <w:spacing w:line="240" w:lineRule="auto"/>
        <w:keepNext/>
      </w:pPr>
      <w:r>
        <w:rPr>
          <w:sz w:val="28"/>
          <w:rFonts w:ascii="Times New Roman" w:hAnsi="Times New Roman"/>
        </w:rPr>
        <w:t xml:space="preserve">Bilješka 12.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rashodi za zaposlene</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10.944,00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21.654,84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197,9</w:t>
            </w:r>
          </w:p>
        </w:tc>
      </w:tr>
    </w:tbl>
    <w:p>
      <w:pPr>
        <w:spacing w:before="0" w:after="0"/>
      </w:pPr>
    </w:p>
    <w:p>
      <w:pPr>
        <w:jc w:val="both"/>
      </w:pPr>
      <w:r>
        <w:t xml:space="preserve">Iskazani iznos se odnosi na rashode koji se isplaćuju zaposlenima, a odnose se na prigodne godišnje nagrade, prava koja proizlaze iz pravilnika te za dodatke za uspješnost na radu.</w:t>
      </w:r>
    </w:p>
    <w:p/>
    <w:p>
      <w:pPr>
        <w:jc w:val="center"/>
        <w:pStyle w:val="Normal"/>
        <w:spacing w:line="240" w:lineRule="auto"/>
        <w:keepNext/>
      </w:pPr>
      <w:r>
        <w:rPr>
          <w:sz w:val="28"/>
          <w:rFonts w:ascii="Times New Roman" w:hAnsi="Times New Roman"/>
        </w:rPr>
        <w:t xml:space="preserve">Bilješka 13.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Doprinosi na plaće (šifre 3131 do 3133)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32.275,52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50.210,84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155,6</w:t>
            </w:r>
          </w:p>
        </w:tc>
      </w:tr>
    </w:tbl>
    <w:p>
      <w:pPr>
        <w:spacing w:before="0" w:after="0"/>
      </w:pPr>
    </w:p>
    <w:p>
      <w:pPr>
        <w:jc w:val="both"/>
      </w:pPr>
      <w:r>
        <w:t xml:space="preserve">Iskazani iznos se odnosi na rashode za plaće (bruto) zaposlenih u općinskoj upravi i na projektu Radim i pomažem IV i veći su u odnosu na isto razdoblje prethodne godine zbog većih troškova zaposlenih uslijed povećanja osnovice i povećanja minimalne plaće za djelatnike na projektu Radim i pomažem IV.</w:t>
      </w:r>
    </w:p>
    <w:p/>
    <w:p>
      <w:pPr>
        <w:jc w:val="center"/>
        <w:pStyle w:val="Normal"/>
        <w:spacing w:line="240" w:lineRule="auto"/>
        <w:keepNext/>
      </w:pPr>
      <w:r>
        <w:rPr>
          <w:sz w:val="28"/>
          <w:rFonts w:ascii="Times New Roman" w:hAnsi="Times New Roman"/>
        </w:rPr>
        <w:t xml:space="preserve">Bilješka 14.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zaposlenima (šifre 3211 do 3214)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23.578,38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25.757,78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109,2</w:t>
            </w:r>
          </w:p>
        </w:tc>
      </w:tr>
    </w:tbl>
    <w:p>
      <w:pPr>
        <w:spacing w:before="0" w:after="0"/>
      </w:pPr>
    </w:p>
    <w:p>
      <w:pPr>
        <w:jc w:val="both"/>
      </w:pPr>
      <w:r>
        <w:t xml:space="preserve">Iskazani iznos se odnosi na rashode za službena putovanja, stručno usavršavanje zaposlenika, naknade za prijevoz na posao i s posla. Iznos je veći u odnosu na isto razdoblje prethodne godine zbog većih troškova zaposlenih, a povećanje se odnosi na troškove službenih putovanja te naknada za prijevoz.</w:t>
      </w:r>
    </w:p>
    <w:p/>
    <w:p>
      <w:pPr>
        <w:jc w:val="center"/>
        <w:pStyle w:val="Normal"/>
        <w:spacing w:line="240" w:lineRule="auto"/>
        <w:keepNext/>
      </w:pPr>
      <w:r>
        <w:rPr>
          <w:sz w:val="28"/>
          <w:rFonts w:ascii="Times New Roman" w:hAnsi="Times New Roman"/>
        </w:rPr>
        <w:t xml:space="preserve">Bilješka 15.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materijal i energiju (šifre 3221 do 3227)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82.961,52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97.872,20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118,0</w:t>
            </w:r>
          </w:p>
        </w:tc>
      </w:tr>
    </w:tbl>
    <w:p>
      <w:pPr>
        <w:spacing w:before="0" w:after="0"/>
      </w:pPr>
    </w:p>
    <w:p>
      <w:pPr>
        <w:jc w:val="both"/>
      </w:pPr>
      <w:r>
        <w:t xml:space="preserve">Iskazani iznos se odnosi na rashode za materijal i energiju i veći je u odnosu na isto razdoblje prethodne godine iz razloga što su veća izdvajanja za uredski materijal i materijal za tekuće i investicijsko održavanje.</w:t>
      </w:r>
    </w:p>
    <w:p/>
    <w:p>
      <w:pPr>
        <w:jc w:val="center"/>
        <w:pStyle w:val="Normal"/>
        <w:spacing w:line="240" w:lineRule="auto"/>
        <w:keepNext/>
      </w:pPr>
      <w:r>
        <w:rPr>
          <w:sz w:val="28"/>
          <w:rFonts w:ascii="Times New Roman" w:hAnsi="Times New Roman"/>
        </w:rPr>
        <w:t xml:space="preserve">Bilješka 16.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Rashodi za usluge (šifre 3231 do 3239)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774.576,28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769.865,95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99,4</w:t>
            </w:r>
          </w:p>
        </w:tc>
      </w:tr>
    </w:tbl>
    <w:p>
      <w:pPr>
        <w:spacing w:before="0" w:after="0"/>
      </w:pPr>
    </w:p>
    <w:p>
      <w:pPr>
        <w:jc w:val="both"/>
      </w:pPr>
      <w:r>
        <w:t xml:space="preserve">Iskazani iznos se odnosi na rashode za usluge i manji su odnosu na isto razdoblje prethodne godine radi smanjenja troškova usluge promidžbe i informiranja i komunalnih usluga, dok su unutar grupe konta 323 povećani rashodi za usluge telefona, interneta i prijevoza, usluga tekućeg i investicijskog održavanja zakupnina i najamnina te zdravstvenih i veterinarskih usluga te intelektualnih usluga.</w:t>
      </w:r>
    </w:p>
    <w:p/>
    <w:p>
      <w:pPr>
        <w:jc w:val="center"/>
        <w:pStyle w:val="Normal"/>
        <w:spacing w:line="240" w:lineRule="auto"/>
        <w:keepNext/>
      </w:pPr>
      <w:r>
        <w:rPr>
          <w:sz w:val="28"/>
          <w:rFonts w:ascii="Times New Roman" w:hAnsi="Times New Roman"/>
        </w:rPr>
        <w:t xml:space="preserve">Bilješka 17.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Naknade troškova osobama izvan radnog odnosa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1.308,05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r>
        <w:t xml:space="preserve">U izvještajnom razdoblju nije bilo rashoda za naknade troškova osobama izvan radnog odnosa.</w:t>
      </w:r>
    </w:p>
    <w:p/>
    <w:p>
      <w:pPr>
        <w:jc w:val="center"/>
        <w:pStyle w:val="Normal"/>
        <w:spacing w:line="240" w:lineRule="auto"/>
        <w:keepNext/>
      </w:pPr>
      <w:r>
        <w:rPr>
          <w:sz w:val="28"/>
          <w:rFonts w:ascii="Times New Roman" w:hAnsi="Times New Roman"/>
        </w:rPr>
        <w:t xml:space="preserve">Bilješka 18.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nespomenuti rashodi poslovanja (šifre 3291 do 3299)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126.085,25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136.295,76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108,1</w:t>
            </w:r>
          </w:p>
        </w:tc>
      </w:tr>
    </w:tbl>
    <w:p>
      <w:pPr>
        <w:spacing w:before="0" w:after="0"/>
      </w:pPr>
    </w:p>
    <w:p>
      <w:pPr>
        <w:jc w:val="both"/>
      </w:pPr>
      <w:r>
        <w:t xml:space="preserve">Iskazani iznos se odnosi na ostale nespomenute rashode poslovanja koji su veći, a razlika povećanih rashoda je u rashodima za rad biračkih odbora i Općinskog izbornog povjerenstva za provedbu lokalnih izbora održanih 18.5.2025. i 1.6.2025. (II. krug za Općinskog načelnika), reprezentaciji (povećan broj događanja na području Općine Bebrina) i rashodima za pristojbe i naknade.</w:t>
      </w:r>
    </w:p>
    <w:p/>
    <w:p>
      <w:pPr>
        <w:jc w:val="center"/>
        <w:pStyle w:val="Normal"/>
        <w:spacing w:line="240" w:lineRule="auto"/>
        <w:keepNext/>
      </w:pPr>
      <w:r>
        <w:rPr>
          <w:sz w:val="28"/>
          <w:rFonts w:ascii="Times New Roman" w:hAnsi="Times New Roman"/>
        </w:rPr>
        <w:t xml:space="preserve">Bilješka 19.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Ostali financijski rashodi (šifre 3431 do 3434)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3.401,02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4.136,62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121,6</w:t>
            </w:r>
          </w:p>
        </w:tc>
      </w:tr>
    </w:tbl>
    <w:p>
      <w:pPr>
        <w:spacing w:before="0" w:after="0"/>
      </w:pPr>
    </w:p>
    <w:p>
      <w:pPr>
        <w:jc w:val="both"/>
      </w:pPr>
      <w:r>
        <w:t xml:space="preserve">Iskazani iznos se odnosi na bankovne troškove redovnog financijskog poslovanja i veći su odnosu na isto izvještajno razdoblje prethodne godine.</w:t>
      </w:r>
    </w:p>
    <w:p/>
    <w:p>
      <w:pPr>
        <w:jc w:val="center"/>
        <w:pStyle w:val="Normal"/>
        <w:spacing w:line="240" w:lineRule="auto"/>
        <w:keepNext/>
      </w:pPr>
      <w:r>
        <w:rPr>
          <w:sz w:val="28"/>
          <w:rFonts w:ascii="Times New Roman" w:hAnsi="Times New Roman"/>
        </w:rPr>
        <w:t xml:space="preserve">Bilješka 20.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Pomoći proračunskim korisnicima drugih proračuna (šifre 3661 do 3663)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43.575,83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w:t>
            </w:r>
          </w:p>
        </w:tc>
      </w:tr>
    </w:tbl>
    <w:p>
      <w:pPr>
        <w:spacing w:before="0" w:after="0"/>
      </w:pPr>
    </w:p>
    <w:p>
      <w:pPr>
        <w:jc w:val="both"/>
      </w:pPr>
      <w:r>
        <w:t xml:space="preserve">U izvještajnom razdoblju nije bilo prijenosa sredstava proračunskom korisniku drugih proračuna.</w:t>
      </w:r>
    </w:p>
    <w:p/>
    <w:p>
      <w:pPr>
        <w:jc w:val="center"/>
        <w:pStyle w:val="Normal"/>
        <w:spacing w:line="240" w:lineRule="auto"/>
        <w:keepNext/>
      </w:pPr>
      <w:r>
        <w:rPr>
          <w:sz w:val="28"/>
          <w:rFonts w:ascii="Times New Roman" w:hAnsi="Times New Roman"/>
        </w:rPr>
        <w:t xml:space="preserve">Bilješka 21.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Ostale naknade građanima i kućanstvima iz proračuna (šifre 3721 do 3723)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41.163,72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90.107,32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218,9</w:t>
            </w:r>
          </w:p>
        </w:tc>
      </w:tr>
    </w:tbl>
    <w:p>
      <w:pPr>
        <w:spacing w:before="0" w:after="0"/>
      </w:pPr>
    </w:p>
    <w:p>
      <w:pPr>
        <w:jc w:val="both"/>
      </w:pPr>
      <w:r>
        <w:t xml:space="preserve">Iznos je veći u odnosu na isto izvještajno razdoblje prethodne godine radi većih zahtjeva za ostvarivanje naknada (jednokratne pomoći) te sufinanciranje pohađanja dječjih vrtića.</w:t>
      </w:r>
    </w:p>
    <w:p/>
    <w:p>
      <w:pPr>
        <w:jc w:val="center"/>
        <w:pStyle w:val="Normal"/>
        <w:spacing w:line="240" w:lineRule="auto"/>
        <w:keepNext/>
      </w:pPr>
      <w:r>
        <w:rPr>
          <w:sz w:val="28"/>
          <w:rFonts w:ascii="Times New Roman" w:hAnsi="Times New Roman"/>
        </w:rPr>
        <w:t xml:space="preserve">Bilješka 22.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Tekuće donacije (šifre 3811 do 3813)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115.348,18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135.089,66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117,1</w:t>
            </w:r>
          </w:p>
        </w:tc>
      </w:tr>
    </w:tbl>
    <w:p>
      <w:pPr>
        <w:spacing w:before="0" w:after="0"/>
      </w:pPr>
    </w:p>
    <w:p>
      <w:pPr>
        <w:jc w:val="both"/>
      </w:pPr>
      <w:r>
        <w:t xml:space="preserve">Iznos je veći u odnosu na isto izvještajno razdoblje prethodne godine, a rashodi se odnose na prijenose sredstava neprofitnim organizacijama, Vatrogasnoj zajednici i redovnom financiranju GD HCK.</w:t>
      </w:r>
    </w:p>
    <w:p/>
    <w:p>
      <w:pPr>
        <w:jc w:val="center"/>
        <w:pStyle w:val="Normal"/>
        <w:spacing w:line="240" w:lineRule="auto"/>
        <w:keepNext/>
      </w:pPr>
      <w:r>
        <w:rPr>
          <w:sz w:val="28"/>
          <w:rFonts w:ascii="Times New Roman" w:hAnsi="Times New Roman"/>
        </w:rPr>
        <w:t xml:space="preserve">Bilješka 23.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Kapitalne donacije (šifre 3821 do 3824)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382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15.000,00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3.500,00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23,3</w:t>
            </w:r>
          </w:p>
        </w:tc>
      </w:tr>
    </w:tbl>
    <w:p>
      <w:pPr>
        <w:spacing w:before="0" w:after="0"/>
      </w:pPr>
    </w:p>
    <w:p>
      <w:pPr>
        <w:jc w:val="both"/>
      </w:pPr>
      <w:r>
        <w:t xml:space="preserve">Iznos se odnosi na sredstva po Odluci Grkokatoličkoj crkvi u Kaniži.</w:t>
      </w:r>
    </w:p>
    <w:p/>
    <w:p>
      <w:pPr>
        <w:jc w:val="center"/>
        <w:pStyle w:val="Normal"/>
        <w:spacing w:line="240" w:lineRule="auto"/>
        <w:keepNext/>
      </w:pPr>
      <w:r>
        <w:rPr>
          <w:sz w:val="28"/>
          <w:rFonts w:ascii="Times New Roman" w:hAnsi="Times New Roman"/>
        </w:rPr>
        <w:t xml:space="preserve">Bilješka 24.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Prihodi od prodaje materijalne imovine - prirodnih bogatstava (šifre 7111 do 7113)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711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13.295,33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17.683,29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133,0</w:t>
            </w:r>
          </w:p>
        </w:tc>
      </w:tr>
    </w:tbl>
    <w:p>
      <w:pPr>
        <w:spacing w:before="0" w:after="0"/>
      </w:pPr>
    </w:p>
    <w:p>
      <w:pPr>
        <w:jc w:val="both"/>
      </w:pPr>
      <w:r>
        <w:t xml:space="preserve">Prihodi u izvještajnom razdoblju su više ostvareni u odnosu na isto razdoblje  prethodne godine, a odnose se na naplatu prihoda od prodaje zemljišta po sklopljenim ugovorima.</w:t>
      </w:r>
    </w:p>
    <w:p/>
    <w:p>
      <w:pPr>
        <w:jc w:val="center"/>
        <w:pStyle w:val="Normal"/>
        <w:spacing w:line="240" w:lineRule="auto"/>
        <w:keepNext/>
      </w:pPr>
      <w:r>
        <w:rPr>
          <w:sz w:val="28"/>
          <w:rFonts w:ascii="Times New Roman" w:hAnsi="Times New Roman"/>
        </w:rPr>
        <w:t xml:space="preserve">Bilješka 25.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Građevinski objekti (šifre 4211 do 4214)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599.054,43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750.014,06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125,2</w:t>
            </w:r>
          </w:p>
        </w:tc>
      </w:tr>
    </w:tbl>
    <w:p>
      <w:pPr>
        <w:spacing w:before="0" w:after="0"/>
      </w:pPr>
    </w:p>
    <w:p>
      <w:pPr>
        <w:jc w:val="both"/>
      </w:pPr>
      <w:r>
        <w:t xml:space="preserve">Iznos u izvještajnom razdoblju je veći u odnosu na isto razdoblje prethodne godine radi ulaganja u izgradnju šumskih cesta financiranih iz EU sredstava te izgradnju javne rasvjete.</w:t>
      </w:r>
    </w:p>
    <w:p/>
    <w:p>
      <w:pPr>
        <w:jc w:val="center"/>
        <w:pStyle w:val="Normal"/>
        <w:spacing w:line="240" w:lineRule="auto"/>
        <w:keepNext/>
      </w:pPr>
      <w:r>
        <w:rPr>
          <w:sz w:val="28"/>
          <w:rFonts w:ascii="Times New Roman" w:hAnsi="Times New Roman"/>
        </w:rPr>
        <w:t xml:space="preserve">Bilješka 26.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Postrojenja i oprema (šifre 4221 do 4228)</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82.850,57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109.653,79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132,4</w:t>
            </w:r>
          </w:p>
        </w:tc>
      </w:tr>
    </w:tbl>
    <w:p>
      <w:pPr>
        <w:spacing w:before="0" w:after="0"/>
      </w:pPr>
    </w:p>
    <w:p>
      <w:pPr>
        <w:jc w:val="both"/>
      </w:pPr>
      <w:r>
        <w:t xml:space="preserve">Iskazani iznos je veći u odnosu na isto izvještajno razdoblje prethodne godine, a povećanje se odnosi na nabavljene radne strojeve.</w:t>
      </w:r>
    </w:p>
    <w:p/>
    <w:p>
      <w:pPr>
        <w:jc w:val="center"/>
        <w:pStyle w:val="Normal"/>
        <w:spacing w:line="240" w:lineRule="auto"/>
        <w:keepNext/>
      </w:pPr>
      <w:r>
        <w:rPr>
          <w:sz w:val="28"/>
          <w:rFonts w:ascii="Times New Roman" w:hAnsi="Times New Roman"/>
        </w:rPr>
        <w:t xml:space="preserve">Bilješka 27.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Višegodišnji nasadi i osnovno stado (šifre 4251+4252)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11.299,25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4.899,13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43,4</w:t>
            </w:r>
          </w:p>
        </w:tc>
      </w:tr>
    </w:tbl>
    <w:p>
      <w:pPr>
        <w:spacing w:before="0" w:after="0"/>
      </w:pPr>
    </w:p>
    <w:p>
      <w:pPr>
        <w:jc w:val="both"/>
      </w:pPr>
      <w:r>
        <w:t xml:space="preserve">U izvještajnom razdoblju nabavljene su sadnice drveća.</w:t>
      </w:r>
    </w:p>
    <w:p/>
    <w:p>
      <w:pPr>
        <w:jc w:val="center"/>
        <w:pStyle w:val="Normal"/>
        <w:spacing w:line="240" w:lineRule="auto"/>
        <w:keepNext/>
      </w:pPr>
      <w:r>
        <w:rPr>
          <w:sz w:val="28"/>
          <w:rFonts w:ascii="Times New Roman" w:hAnsi="Times New Roman"/>
        </w:rPr>
        <w:t xml:space="preserve">Bilješka 28.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Dodatna ulaganja na građevinskim objektima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451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935.706,37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461.202,42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49,3</w:t>
            </w:r>
          </w:p>
        </w:tc>
      </w:tr>
    </w:tbl>
    <w:p>
      <w:pPr>
        <w:spacing w:before="0" w:after="0"/>
      </w:pPr>
    </w:p>
    <w:p>
      <w:pPr>
        <w:jc w:val="both"/>
      </w:pPr>
      <w:r>
        <w:t xml:space="preserve">Iznos je manji u odnosu na isto izvještajno razdoblje prethodne godine, a smanjenje se odnosi se na manja dodatna ulaganja u objekte u vlasništvu Općine Bebrina. Razlog smanjenja je završetak projekata koji su započeli u prethodnom razdoblju i financiranju su najvećim dijelom iz EU projekata.</w:t>
      </w:r>
    </w:p>
    <w:p/>
    <w:p>
      <w:pPr>
        <w:jc w:val="center"/>
        <w:pStyle w:val="Normal"/>
        <w:spacing w:line="240" w:lineRule="auto"/>
        <w:keepNext/>
      </w:pPr>
      <w:r>
        <w:rPr>
          <w:b/>
          <w:sz w:val="28"/>
          <w:rFonts w:ascii="Times New Roman" w:hAnsi="Times New Roman"/>
        </w:rPr>
        <w:t xml:space="preserve">Bilanca</w:t>
      </w:r>
    </w:p>
    <w:p>
      <w:pPr>
        <w:jc w:val="center"/>
        <w:pStyle w:val="Normal"/>
        <w:spacing w:line="240" w:lineRule="auto"/>
        <w:keepNext/>
      </w:pPr>
      <w:r>
        <w:rPr>
          <w:sz w:val="28"/>
          <w:rFonts w:ascii="Times New Roman" w:hAnsi="Times New Roman"/>
        </w:rPr>
        <w:t xml:space="preserve">Bilješka 29.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Proizvedena dugotrajna imovina (šifre '021 i 02921' + '022 i 02922' + '023 i 02923' + '024 i 02924' + '025 i 02925' + '026 i 02926')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7.218.631,80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8.746.234,49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121,2</w:t>
            </w:r>
          </w:p>
        </w:tc>
      </w:tr>
    </w:tbl>
    <w:p>
      <w:pPr>
        <w:spacing w:before="0" w:after="0"/>
      </w:pPr>
    </w:p>
    <w:p>
      <w:pPr>
        <w:jc w:val="both"/>
      </w:pPr>
      <w:r>
        <w:t xml:space="preserve">Povećanje se odnosi na imovinu nabavljenu u 2025. godini (ulaganje u šumske ceste, te rekonstrukciju zgrade DVD-a), te na prijenos imovine u pripremi u upotrebu u iznosu od 1.435.461,48 EUR, umanjenu za ispravak vrijednosti.</w:t>
      </w:r>
    </w:p>
    <w:p/>
    <w:p>
      <w:pPr>
        <w:jc w:val="center"/>
        <w:pStyle w:val="Normal"/>
        <w:spacing w:line="240" w:lineRule="auto"/>
        <w:keepNext/>
      </w:pPr>
      <w:r>
        <w:rPr>
          <w:sz w:val="28"/>
          <w:rFonts w:ascii="Times New Roman" w:hAnsi="Times New Roman"/>
        </w:rPr>
        <w:t xml:space="preserve">Bilješka 30.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Dugotrajna nefinancijska imovina u pripremi (šifre 051 do 056)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05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961.505,30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213.699,71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22,2</w:t>
            </w:r>
          </w:p>
        </w:tc>
      </w:tr>
    </w:tbl>
    <w:p>
      <w:pPr>
        <w:spacing w:before="0" w:after="0"/>
      </w:pPr>
    </w:p>
    <w:p>
      <w:pPr>
        <w:jc w:val="both"/>
      </w:pPr>
      <w:r>
        <w:t xml:space="preserve">Povećanje se odnosi na imovinu koja se započela realizirati u ranijim godinama kao i u 2025., te se očekuje završetak realizacije u 2026. godini. Smanjenje u odnosu na prethodnu godinu je rezultat prijenosa imovine iz pripreme u uporabu.</w:t>
      </w:r>
    </w:p>
    <w:p/>
    <w:p>
      <w:pPr>
        <w:jc w:val="center"/>
        <w:pStyle w:val="Normal"/>
        <w:spacing w:line="240" w:lineRule="auto"/>
        <w:keepNext/>
      </w:pPr>
      <w:r>
        <w:rPr>
          <w:sz w:val="28"/>
          <w:rFonts w:ascii="Times New Roman" w:hAnsi="Times New Roman"/>
        </w:rPr>
        <w:t xml:space="preserve">Bilješka 31.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Novac u banci i blagajni (šifre 111+112 do 114)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478.050,60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369.191,33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77,2</w:t>
            </w:r>
          </w:p>
        </w:tc>
      </w:tr>
    </w:tbl>
    <w:p>
      <w:pPr>
        <w:spacing w:before="0" w:after="0"/>
      </w:pPr>
    </w:p>
    <w:p>
      <w:pPr>
        <w:jc w:val="both"/>
      </w:pPr>
      <w:r>
        <w:t xml:space="preserve">Stanje računa 31.12.2025. se odnose na sredstva od redovnog poslovanja s obzirom da Općina Bebrina nema kreditnog zaduženja.</w:t>
      </w:r>
    </w:p>
    <w:p/>
    <w:p>
      <w:pPr>
        <w:jc w:val="center"/>
        <w:pStyle w:val="Normal"/>
        <w:spacing w:line="240" w:lineRule="auto"/>
        <w:keepNext/>
      </w:pPr>
      <w:r>
        <w:rPr>
          <w:sz w:val="28"/>
          <w:rFonts w:ascii="Times New Roman" w:hAnsi="Times New Roman"/>
        </w:rPr>
        <w:t xml:space="preserve">Bilješka 32.</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jamčevne pologe, od zaposlenih te za više plaćene poreze i ostalo (šifre 122 do 124 - 125 + 129)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12</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43,85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806,17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1838,5</w:t>
            </w:r>
          </w:p>
        </w:tc>
      </w:tr>
    </w:tbl>
    <w:p>
      <w:pPr>
        <w:spacing w:before="0" w:after="0"/>
      </w:pPr>
    </w:p>
    <w:p>
      <w:pPr>
        <w:jc w:val="both"/>
      </w:pPr>
      <w:r>
        <w:t xml:space="preserve">Iznos se odnosi na plaćeni predujam za koji treba doći povrat sredstava u 2025. godini.</w:t>
      </w:r>
    </w:p>
    <w:p/>
    <w:p>
      <w:pPr>
        <w:jc w:val="center"/>
        <w:pStyle w:val="Normal"/>
        <w:spacing w:line="240" w:lineRule="auto"/>
        <w:keepNext/>
      </w:pPr>
      <w:r>
        <w:rPr>
          <w:sz w:val="28"/>
          <w:rFonts w:ascii="Times New Roman" w:hAnsi="Times New Roman"/>
        </w:rPr>
        <w:t xml:space="preserve">Bilješka 33.</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Financijski instrumenti - dionice i udjeli u glavnici (šifre 15X1+15X2-159)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415.299,95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415.299,95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100</w:t>
            </w:r>
          </w:p>
        </w:tc>
      </w:tr>
    </w:tbl>
    <w:p>
      <w:pPr>
        <w:spacing w:before="0" w:after="0"/>
      </w:pPr>
    </w:p>
    <w:p>
      <w:pPr>
        <w:jc w:val="both"/>
      </w:pPr>
      <w:r>
        <w:t xml:space="preserve">Iznos vlasničkih udjela u trgovačkim društvima u kojima Općina Bebrina ima udjele su ostali nepromijenjeni u 2025. godini i iznose 415.299,95 EUR.</w:t>
      </w:r>
    </w:p>
    <w:p/>
    <w:p>
      <w:pPr>
        <w:jc w:val="center"/>
        <w:pStyle w:val="Normal"/>
        <w:spacing w:line="240" w:lineRule="auto"/>
        <w:keepNext/>
      </w:pPr>
      <w:r>
        <w:rPr>
          <w:sz w:val="28"/>
          <w:rFonts w:ascii="Times New Roman" w:hAnsi="Times New Roman"/>
        </w:rPr>
        <w:t xml:space="preserve">Bilješka 34.</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za prihode poslovanja (šifre 161 do 163 + 164 do 168-169)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796.803,38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98.380,18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12,3</w:t>
            </w:r>
          </w:p>
        </w:tc>
      </w:tr>
    </w:tbl>
    <w:p>
      <w:pPr>
        <w:spacing w:before="0" w:after="0"/>
      </w:pPr>
    </w:p>
    <w:p>
      <w:pPr>
        <w:jc w:val="both"/>
      </w:pPr>
      <w:r>
        <w:t xml:space="preserve">Iznos se odnosi na potraživanja za zakup poljoprivrednog zemljišta, komunalne i grobne naknade. Potraživanja po ZNS-ovima za projekte financirane iz EU sredstava na kraju izvještajnog razdoblja nije bilo što je razlog smanjenja potraživanja u odnosu na isto razdoblje prethodne godine.</w:t>
      </w:r>
    </w:p>
    <w:p/>
    <w:p>
      <w:pPr>
        <w:jc w:val="center"/>
        <w:pStyle w:val="Normal"/>
        <w:spacing w:line="240" w:lineRule="auto"/>
        <w:keepNext/>
      </w:pPr>
      <w:r>
        <w:rPr>
          <w:sz w:val="28"/>
          <w:rFonts w:ascii="Times New Roman" w:hAnsi="Times New Roman"/>
        </w:rPr>
        <w:t xml:space="preserve">Bilješka 35.</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Potraživanja od prodaje nefinancijske imovine (šifre 171 do 174 - 179)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17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27.439,13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5.225,09</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19,0</w:t>
            </w:r>
          </w:p>
        </w:tc>
      </w:tr>
    </w:tbl>
    <w:p>
      <w:pPr>
        <w:spacing w:before="0" w:after="0"/>
      </w:pPr>
    </w:p>
    <w:p>
      <w:pPr>
        <w:jc w:val="both"/>
      </w:pPr>
      <w:r>
        <w:t xml:space="preserve">Iznos se odnosi na potraživanje za evidentirane ugovore o prodaji poljoprivrednog zemljišta.</w:t>
      </w:r>
    </w:p>
    <w:p/>
    <w:p>
      <w:pPr>
        <w:jc w:val="center"/>
        <w:pStyle w:val="Normal"/>
        <w:spacing w:line="240" w:lineRule="auto"/>
        <w:keepNext/>
      </w:pPr>
      <w:r>
        <w:rPr>
          <w:sz w:val="28"/>
          <w:rFonts w:ascii="Times New Roman" w:hAnsi="Times New Roman"/>
        </w:rPr>
        <w:t xml:space="preserve">Bilješka 36.</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rashode poslovanja (šifre 231 do 234 + 235 + 236 + 237 do 239)</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94.992,45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99.847,73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105,1</w:t>
            </w:r>
          </w:p>
        </w:tc>
      </w:tr>
    </w:tbl>
    <w:p>
      <w:pPr>
        <w:spacing w:before="0" w:after="0"/>
      </w:pPr>
    </w:p>
    <w:p>
      <w:pPr>
        <w:jc w:val="both"/>
      </w:pPr>
      <w:r>
        <w:t xml:space="preserve">Iznos se odnosi na obveze za rashode za plaće zaposlenih, materijalne rashode, financijske rashode, te primljena jamstva.</w:t>
      </w:r>
    </w:p>
    <w:p/>
    <w:p>
      <w:pPr>
        <w:jc w:val="center"/>
        <w:pStyle w:val="Normal"/>
        <w:spacing w:line="240" w:lineRule="auto"/>
        <w:keepNext/>
      </w:pPr>
      <w:r>
        <w:rPr>
          <w:sz w:val="28"/>
          <w:rFonts w:ascii="Times New Roman" w:hAnsi="Times New Roman"/>
        </w:rPr>
        <w:t xml:space="preserve">Bilješka 37.</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Obveze za nabavu nefinancijske imovine (šifre 241 do 245)</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24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174.073,55</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24.245,70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13,9</w:t>
            </w:r>
          </w:p>
        </w:tc>
      </w:tr>
    </w:tbl>
    <w:p>
      <w:pPr>
        <w:spacing w:before="0" w:after="0"/>
      </w:pPr>
    </w:p>
    <w:p>
      <w:pPr>
        <w:jc w:val="both"/>
      </w:pPr>
      <w:r>
        <w:t xml:space="preserve">Iznos se odnosi na obvezu za rashode za nabavu nefinancijske imovine. </w:t>
      </w:r>
    </w:p>
    <w:p/>
    <w:p>
      <w:pPr>
        <w:jc w:val="center"/>
        <w:pStyle w:val="Normal"/>
        <w:spacing w:line="240" w:lineRule="auto"/>
        <w:keepNext/>
      </w:pPr>
      <w:r>
        <w:rPr>
          <w:sz w:val="28"/>
          <w:rFonts w:ascii="Times New Roman" w:hAnsi="Times New Roman"/>
        </w:rPr>
        <w:t xml:space="preserve">Bilješka 38.</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1. siječnja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Stanje 31. prosinca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Izvanbilančni zapisi - pasiva</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996</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759.232,83</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3.105.290,14</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409,0</w:t>
            </w:r>
          </w:p>
        </w:tc>
      </w:tr>
    </w:tbl>
    <w:p>
      <w:pPr>
        <w:spacing w:before="0" w:after="0"/>
      </w:pPr>
    </w:p>
    <w:p>
      <w:pPr>
        <w:jc w:val="both"/>
      </w:pPr>
      <w:r>
        <w:t xml:space="preserve">Odnosi se na evidentirane ugovore za EU projekte, sklopljene ugovore za izvršenje radova te evidenciju danih i primljenih jamstava.</w:t>
      </w:r>
    </w:p>
    <w:p/>
    <w:p>
      <w:pPr>
        <w:jc w:val="center"/>
        <w:pStyle w:val="Normal"/>
        <w:spacing w:line="240" w:lineRule="auto"/>
        <w:keepNext/>
      </w:pPr>
      <w:r>
        <w:rPr>
          <w:b/>
          <w:sz w:val="28"/>
          <w:rFonts w:ascii="Times New Roman" w:hAnsi="Times New Roman"/>
        </w:rPr>
        <w:t xml:space="preserve">Izvještaj o rashodima prema funkcijskoj klasifikaciji</w:t>
      </w:r>
    </w:p>
    <w:p>
      <w:pPr>
        <w:jc w:val="center"/>
        <w:pStyle w:val="Normal"/>
        <w:spacing w:line="240" w:lineRule="auto"/>
        <w:keepNext/>
      </w:pPr>
      <w:r>
        <w:rPr>
          <w:sz w:val="28"/>
          <w:rFonts w:ascii="Times New Roman" w:hAnsi="Times New Roman"/>
        </w:rPr>
        <w:t xml:space="preserve">Bilješka 39.</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prethodne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Ostvareno u izvještajnom razdoblju tekuće godine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Kontrolni zbroj (šifre 01+02+03+04+05+06+07+08+09+10)</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R1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3.100.211,57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3.014.604,48</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97,2</w:t>
            </w:r>
          </w:p>
        </w:tc>
      </w:tr>
    </w:tbl>
    <w:p>
      <w:pPr>
        <w:spacing w:before="0" w:after="0"/>
      </w:pPr>
    </w:p>
    <w:p>
      <w:pPr>
        <w:jc w:val="both"/>
      </w:pPr>
      <w:r>
        <w:t xml:space="preserve">Rashodi u proračunu Općine Bebrina su ostvareni prema proračunskim aktivnostima i namjenama.</w:t>
      </w:r>
    </w:p>
    <w:p/>
    <w:p>
      <w:pPr>
        <w:jc w:val="center"/>
        <w:pStyle w:val="Normal"/>
        <w:spacing w:line="240" w:lineRule="auto"/>
        <w:keepNext/>
      </w:pPr>
      <w:r>
        <w:rPr>
          <w:b/>
          <w:sz w:val="28"/>
          <w:rFonts w:ascii="Times New Roman" w:hAnsi="Times New Roman"/>
        </w:rPr>
        <w:t xml:space="preserve">Promjene u vrijednosti i obujmu imovine i obveza</w:t>
      </w:r>
    </w:p>
    <w:p>
      <w:pPr>
        <w:jc w:val="center"/>
        <w:pStyle w:val="Normal"/>
        <w:spacing w:line="240" w:lineRule="auto"/>
        <w:keepNext/>
      </w:pPr>
      <w:r>
        <w:rPr>
          <w:sz w:val="28"/>
          <w:rFonts w:ascii="Times New Roman" w:hAnsi="Times New Roman"/>
        </w:rPr>
        <w:t xml:space="preserve">Bilješka 40.</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povećanja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 smanjenja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Promjene u vrijednosti i obujmu imovine (šifre 91511+91512)</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9151</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478.295,80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pPr>
        <w:jc w:val="both"/>
      </w:pPr>
      <w:r>
        <w:t xml:space="preserve">Smanjenje u vrijednosti nefinancijske imovine se odnosi na evidentiran ispravak vrijednosti i isknjiženje dugotrajne imovine.</w:t>
      </w:r>
    </w:p>
    <w:p/>
    <w:p>
      <w:pPr>
        <w:jc w:val="center"/>
        <w:pStyle w:val="Normal"/>
        <w:spacing w:line="240" w:lineRule="auto"/>
        <w:keepNext/>
      </w:pPr>
      <w:r>
        <w:rPr>
          <w:b/>
          <w:sz w:val="28"/>
          <w:rFonts w:ascii="Times New Roman" w:hAnsi="Times New Roman"/>
        </w:rPr>
        <w:t xml:space="preserve">Izvještaj o obvezama</w:t>
      </w:r>
    </w:p>
    <w:p>
      <w:pPr>
        <w:jc w:val="center"/>
        <w:pStyle w:val="Normal"/>
        <w:spacing w:line="240" w:lineRule="auto"/>
        <w:keepNext/>
      </w:pPr>
      <w:r>
        <w:rPr>
          <w:sz w:val="28"/>
          <w:rFonts w:ascii="Times New Roman" w:hAnsi="Times New Roman"/>
        </w:rPr>
        <w:t xml:space="preserve">Bilješka 41.</w:t>
      </w:r>
    </w:p>
    <w:tbl>
      <w:tblPr>
        <w:tblBorders>
          <w:top w:val="single" w:color="BABABA" w:sz="12"/>
          <w:bottom w:val="single" w:color="BABABA" w:sz="12"/>
          <w:left w:val="single" w:color="BABABA" w:sz="12"/>
          <w:right w:val="single" w:color="BABABA" w:sz="12"/>
          <w:insideH w:val="single" w:color="BABABA" w:sz="8"/>
          <w:insideV w:val="single" w:color="DADADA" w:sz="8"/>
        </w:tblBorders>
        <w:tblW w:w="9000" w:type="dxa"/>
        <w:tblLayout w:type="fixed"/>
        <w:tblCellMar>
          <w:left w:w="40" w:type="dxa"/>
          <w:right w:w="40" w:type="dxa"/>
        </w:tblCellMar>
      </w:tblPr>
      <w:tblGrid>
        <w:gridCol w:w="700"/>
        <w:gridCol w:w="3180"/>
        <w:gridCol w:w="700"/>
        <w:gridCol w:w="1860"/>
        <w:gridCol w:w="700"/>
      </w:tblGrid>
      <w:tr>
        <w:trPr>
          <w:cantSplit/>
        </w:trPr>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Račun iz rač. plana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Opis stavke</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Šifra</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Iznos</w:t>
            </w:r>
          </w:p>
        </w:tc>
        <w:tc>
          <w:tcPr>
            <w:shd w:val="clear" w:color="auto" w:fill="E7F0F9"/>
            <w:tcMar>
              <w:top w:w="0" w:type="dxa"/>
              <w:bottom w:w="0" w:type="dxa"/>
            </w:tcMar>
            <w:vAlign w:val="center"/>
          </w:tcPr>
          <w:p>
            <w:pPr>
              <w:jc w:val="center"/>
              <w:pStyle w:val="Normal"/>
              <w:spacing w:before="0" w:after="0" w:line="240" w:lineRule="auto"/>
              <w:keepNext/>
              <w:keepLines/>
            </w:pPr>
            <w:r>
              <w:rPr>
                <w:sz w:val="18"/>
                <w:rFonts w:ascii="Times New Roman" w:hAnsi="Times New Roman"/>
                <w:b/>
              </w:rPr>
              <w:t>Indeks (%)</w:t>
            </w:r>
          </w:p>
        </w:tc>
      </w:tr>
      <w:tr>
        <w:trPr>
          <w:trHeight w:val="560" w:hRule="atLeast"/>
          <w:cantSplit/>
        </w:trPr>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Stanje dospjelih obveza na kraju izvještajnog razdoblja (šifre V008+D23+D24 + 'D dio 25,26' + D27)</w:t>
            </w:r>
          </w:p>
        </w:tc>
        <w:tc>
          <w:tcPr>
            <w:tcMar>
              <w:top w:w="0" w:type="dxa"/>
              <w:bottom w:w="0" w:type="dxa"/>
            </w:tcMar>
            <w:vAlign w:val="center"/>
          </w:tcPr>
          <w:p>
            <w:pPr>
              <w:jc w:val="left"/>
              <w:pStyle w:val="Normal"/>
              <w:spacing w:before="0" w:after="0" w:line="240" w:lineRule="auto"/>
              <w:keepNext/>
              <w:keepLines/>
            </w:pPr>
            <w:r>
              <w:rPr>
                <w:sz w:val="18"/>
                <w:rFonts w:ascii="Times New Roman" w:hAnsi="Times New Roman"/>
              </w:rPr>
              <w:t>V007</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0,00</w:t>
            </w:r>
          </w:p>
        </w:tc>
        <w:tc>
          <w:tcPr>
            <w:tcMar>
              <w:top w:w="0" w:type="dxa"/>
              <w:bottom w:w="0" w:type="dxa"/>
            </w:tcMar>
            <w:vAlign w:val="center"/>
          </w:tcPr>
          <w:p>
            <w:pPr>
              <w:jc w:val="right"/>
              <w:pStyle w:val="Normal"/>
              <w:spacing w:before="0" w:after="0" w:line="240" w:lineRule="auto"/>
              <w:keepNext/>
              <w:keepLines/>
            </w:pPr>
            <w:r>
              <w:rPr>
                <w:sz w:val="18"/>
                <w:rFonts w:ascii="Times New Roman" w:hAnsi="Times New Roman"/>
              </w:rPr>
              <w:t>-</w:t>
            </w:r>
          </w:p>
        </w:tc>
      </w:tr>
    </w:tbl>
    <w:p>
      <w:pPr>
        <w:spacing w:before="0" w:after="0"/>
      </w:pPr>
    </w:p>
    <w:p>
      <w:r>
        <w:t xml:space="preserve">Općina Bebrina nema dospjelih obveza na 31.12.2025.</w:t>
      </w:r>
    </w:p>
    <w:p/>
    <w:p>
      <w:pPr>
        <w:jc w:val="center"/>
        <w:pStyle w:val="Normal"/>
        <w:spacing w:line="240" w:lineRule="auto"/>
        <w:keepNext/>
      </w:pPr>
      <w:r>
        <w:rPr>
          <w:sz w:val="28"/>
          <w:rFonts w:ascii="Times New Roman" w:hAnsi="Times New Roman"/>
        </w:rPr>
        <w:t xml:space="preserve">Bilješka 42.</w:t>
      </w:r>
    </w:p>
    <w:p>
      <w:pPr>
        <w:jc w:val="both"/>
        <w:pStyle w:val="Normal"/>
        <w:spacing w:line="240" w:lineRule="auto"/>
      </w:pPr>
      <w:r>
        <w:rPr>
          <w:b/>
          <w:sz w:val="24"/>
          <w:rFonts w:ascii="Times New Roman" w:hAnsi="Times New Roman"/>
        </w:rPr>
        <w:t xml:space="preserve">EU izvještaj</w:t>
      </w:r>
    </w:p>
    <w:p>
      <w:pPr>
        <w:jc w:val="both"/>
      </w:pPr>
      <w:r>
        <w:t xml:space="preserve">Općina Bebrina u izvještajnom razdoblju imala evidentirane prihode i rashode te izvanbilančne stavke za evidentirane ugovore iz Europskog socijalnog fonda plus, Europskog poljoprivrenog fonda za ruralni razvoj te Mehanizma za otpornost i oporavak. </w:t>
      </w:r>
    </w:p>
    <w:p/>
  </w:body>
</w:document>
</file>

<file path=word/styles.xml><?xml version="1.0" encoding="utf-8"?>
<w:styles xmlns:w="http://schemas.openxmlformats.org/wordprocessingml/2006/main">
  <w:docDefaults>
    <w:rPrDefault>
      <w:rPr>
        <w:rFonts w:ascii="Times New Roman" w:hAnsi="Times New Roman"/>
        <w:sz w:val="24"/>
      </w:rPr>
    </w:rPrDefault>
  </w:docDefaults>
  <w:style w:type="paragraph" w:styleId="Normal" w:default="true">
    <w:name w:val="Normal"/>
    <w:rPr>
      <w:rFonts w:ascii="Times New Roman" w:hAnsi="Times New Roman"/>
      <w:sz w:val="24"/>
    </w:rPr>
  </w:style>
</w:styles>
</file>

<file path=word/_rels/document.xml.rels>&#65279;<?xml version="1.0" encoding="utf-8"?><Relationships xmlns="http://schemas.openxmlformats.org/package/2006/relationships"><Relationship Type="http://schemas.openxmlformats.org/officeDocument/2006/relationships/styles" Target="/word/styles.xml" Id="R36292ee66f744f40" /></Relationships>
</file>