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ff745b4f73496c"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36645</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OPĆINA BEBRINA</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23</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1.553.668,08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1.931.047,93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124,3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654.898,20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809.957,16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123,7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898.769,88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1.121.090,77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124,7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604,50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498,3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504.101,74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1.066.729,78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211,6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503.980,42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1.066.125,28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211,5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30.146,32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30.146,32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I PRIMITAKA (šifre X678-Y345)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364.643,14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54.965,49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15,1</w:t>
            </w:r>
          </w:p>
        </w:tc>
      </w:tr>
    </w:tbl>
    <w:p>
      <w:pPr>
        <w:spacing w:before="0" w:after="0"/>
      </w:pPr>
    </w:p>
    <w:p>
      <w:pPr>
        <w:jc w:val="both"/>
        <w:pStyle w:val="Normal"/>
        <w:spacing w:line="240" w:lineRule="auto"/>
      </w:pPr>
      <w:r>
        <w:rPr>
          <w:sz w:val="24"/>
          <w:rFonts w:ascii="Times New Roman" w:hAnsi="Times New Roman"/>
        </w:rPr>
        <w:t>U izvještajnom razdoblju ostvaren je višak prihoda poslovanja koji je nastao uplatom poreznih prihoda i prihoda iz redovnog poslovanja te uplatama po odobrenim sredstvima iz državnog proračuna temeljem prijenosa EU sredstava prema Ugovorima za financiranje projekata.  Manjak prihoda od nefinancijske imovine pokrit će se evidentiranjem obveznih financijskih korekcija.  Preneseni višak iz rezultata poslovanja za 2024. iznosi 209.182,57 EUR te s uključenim viškom poslovanja na kraju izvještajnog razdoblja višak prihoda iznosi 264.148,06 EUR.</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 na dohodak (šifre 6111 do 6116 - 6117 - 6119)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208.080,96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231.983,91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111,5</w:t>
            </w:r>
          </w:p>
        </w:tc>
      </w:tr>
    </w:tbl>
    <w:p>
      <w:pPr>
        <w:spacing w:before="0" w:after="0"/>
      </w:pPr>
    </w:p>
    <w:p>
      <w:pPr>
        <w:jc w:val="both"/>
        <w:pStyle w:val="Normal"/>
        <w:spacing w:line="240" w:lineRule="auto"/>
      </w:pPr>
      <w:r>
        <w:rPr>
          <w:sz w:val="24"/>
          <w:rFonts w:ascii="Times New Roman" w:hAnsi="Times New Roman"/>
        </w:rPr>
        <w:t>Iskazani iznos je veći u odnosu na isto izvještajno razdoblje prethodne godine. Razlika u prihodu je odraz priljeva poreznih prihoda i izvršenog povrata poreza u izvještajnom razdoblju.</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Porezi na imovinu (šifre 6131 do 6135)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10.015,09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8.775,19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87,6</w:t>
            </w:r>
          </w:p>
        </w:tc>
      </w:tr>
    </w:tbl>
    <w:p>
      <w:pPr>
        <w:spacing w:before="0" w:after="0"/>
      </w:pPr>
    </w:p>
    <w:p>
      <w:pPr>
        <w:jc w:val="both"/>
        <w:pStyle w:val="Normal"/>
        <w:spacing w:line="240" w:lineRule="auto"/>
      </w:pPr>
      <w:r>
        <w:rPr>
          <w:sz w:val="24"/>
          <w:rFonts w:ascii="Times New Roman" w:hAnsi="Times New Roman"/>
        </w:rPr>
        <w:t>Iskazani iznos je manji u odnosu na isto izvještajno razdoblje prethodne godine, a odraz je manjeg prihoda od prometa nekretninama na području Općine Bebrina i naplati poreza kojeg utvrđuje i provodi Porezna uprava.</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proračunu i izvanproračunskim korisnicima iz drugih proračuna (šifre 6331+6332)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403.178,52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11.657,60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w:t>
            </w:r>
          </w:p>
        </w:tc>
      </w:tr>
    </w:tbl>
    <w:p>
      <w:pPr>
        <w:spacing w:before="0" w:after="0"/>
      </w:pPr>
    </w:p>
    <w:p>
      <w:pPr>
        <w:jc w:val="both"/>
        <w:pStyle w:val="Normal"/>
        <w:spacing w:line="240" w:lineRule="auto"/>
      </w:pPr>
      <w:r>
        <w:rPr>
          <w:sz w:val="24"/>
          <w:rFonts w:ascii="Times New Roman" w:hAnsi="Times New Roman"/>
        </w:rPr>
        <w:t>Iskazani iznos je manji u odnosu na isto izvještajno razdoblje prethodne godine, a razlog je evidentiranje pomoći fiskalnog izravnanja na konto 6353.</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izravnanja za decentralizirane funkcije i fiskalnog izravnanja (šifre 6351 do 6353)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373.862,16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Evidentiran je prihod od pomoći iz državnog proračuna za pomoć fiskalnog izravnanja. U istom razdoblju prethodne godine nema ostvarenja iz razloga što se konto 6353 koristi od 2025. godine</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temeljem prijenosa EU sredstava (šifre 6381+6382)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722.580,94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1.247.779,76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172,7</w:t>
            </w:r>
          </w:p>
        </w:tc>
      </w:tr>
    </w:tbl>
    <w:p>
      <w:pPr>
        <w:spacing w:before="0" w:after="0"/>
      </w:pPr>
    </w:p>
    <w:p>
      <w:pPr>
        <w:jc w:val="both"/>
        <w:pStyle w:val="Normal"/>
        <w:spacing w:line="240" w:lineRule="auto"/>
      </w:pPr>
      <w:r>
        <w:rPr>
          <w:sz w:val="24"/>
          <w:rFonts w:ascii="Times New Roman" w:hAnsi="Times New Roman"/>
        </w:rPr>
        <w:t>Iskazani iznos se odnosi na prihode od pomoći temeljem prijenosa EU sredstava i veći su u odnosu na isto razdoblje prethodne godine iz razloga što su uplaćeni odobreni ZNS-ovi za projekte koje provodi Općina Bebrina i primljeni predujmovi za EU projekte.</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imovine (šifre 641+642+643)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26.855,14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21.296,17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79,3</w:t>
            </w:r>
          </w:p>
        </w:tc>
      </w:tr>
    </w:tbl>
    <w:p>
      <w:pPr>
        <w:spacing w:before="0" w:after="0"/>
      </w:pPr>
    </w:p>
    <w:p>
      <w:pPr>
        <w:jc w:val="both"/>
        <w:pStyle w:val="Normal"/>
        <w:spacing w:line="240" w:lineRule="auto"/>
      </w:pPr>
      <w:r>
        <w:rPr>
          <w:sz w:val="24"/>
          <w:rFonts w:ascii="Times New Roman" w:hAnsi="Times New Roman"/>
        </w:rPr>
        <w:t>Iskazani iznos je manji u odnosu na isto razdoblje prethodne godine iz razloga što su  prihodi od zakupa poljoprivrednog zemljišta naplaćuju u drugoj polovni godine.</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upravnih i administrativnih pristojbi, pristojbi po posebnim propisima i naknada (šifre 651+652+653+654)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180.889,74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25.759,51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14,2</w:t>
            </w:r>
          </w:p>
        </w:tc>
      </w:tr>
    </w:tbl>
    <w:p>
      <w:pPr>
        <w:spacing w:before="0" w:after="0"/>
      </w:pPr>
    </w:p>
    <w:p>
      <w:pPr>
        <w:jc w:val="both"/>
        <w:pStyle w:val="Normal"/>
        <w:spacing w:line="240" w:lineRule="auto"/>
      </w:pPr>
      <w:r>
        <w:rPr>
          <w:sz w:val="24"/>
          <w:rFonts w:ascii="Times New Roman" w:hAnsi="Times New Roman"/>
        </w:rPr>
        <w:t>Iskazani iznos je manji u odnosu na isto razdoblje prethodne godine, a smanjenje se odnosi se na prihod od doprinosa za šume koji je u istom razdoblju prethodne godine uplaćen u značajnijem iznosu.</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te pruženih usluga, prihodi od donacija te povrati po protestiranim jamstvima (šifre 661+663)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2.067,69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1.374,02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66,5</w:t>
            </w:r>
          </w:p>
        </w:tc>
      </w:tr>
    </w:tbl>
    <w:p>
      <w:pPr>
        <w:spacing w:before="0" w:after="0"/>
      </w:pPr>
    </w:p>
    <w:p>
      <w:pPr>
        <w:jc w:val="both"/>
        <w:pStyle w:val="Normal"/>
        <w:spacing w:line="240" w:lineRule="auto"/>
      </w:pPr>
      <w:r>
        <w:rPr>
          <w:sz w:val="24"/>
          <w:rFonts w:ascii="Times New Roman" w:hAnsi="Times New Roman"/>
        </w:rPr>
        <w:t>Iskazani iznos je manji u odnosu na isto izvještajno razdoblje prethodne godine, a odnosi se na prihod od Hrvatskih voda za naplatu Naknade za uređenje voda.</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(bruto) (šifre 3111 do 3114)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64.575,25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152.068,10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235,5</w:t>
            </w:r>
          </w:p>
        </w:tc>
      </w:tr>
    </w:tbl>
    <w:p>
      <w:pPr>
        <w:spacing w:before="0" w:after="0"/>
      </w:pPr>
    </w:p>
    <w:p>
      <w:pPr>
        <w:jc w:val="both"/>
        <w:pStyle w:val="Normal"/>
        <w:spacing w:line="240" w:lineRule="auto"/>
      </w:pPr>
      <w:r>
        <w:rPr>
          <w:sz w:val="24"/>
          <w:rFonts w:ascii="Times New Roman" w:hAnsi="Times New Roman"/>
        </w:rPr>
        <w:t>Iskazani iznos se odnosi na rashode za plaće (bruto) zaposlenih u općinskoj upravi i na projektu Radim i pomažem IV. i veći su u odnosu na isto razdoblje prethodne godine zbog većih troškova zaposlenih.</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rashodi za zaposlene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971,4</w:t>
            </w:r>
          </w:p>
        </w:tc>
      </w:tr>
    </w:tbl>
    <w:p>
      <w:pPr>
        <w:spacing w:before="0" w:after="0"/>
      </w:pPr>
    </w:p>
    <w:p>
      <w:pPr>
        <w:jc w:val="both"/>
        <w:pStyle w:val="Normal"/>
        <w:spacing w:line="240" w:lineRule="auto"/>
      </w:pPr>
      <w:r>
        <w:rPr>
          <w:sz w:val="24"/>
          <w:rFonts w:ascii="Times New Roman" w:hAnsi="Times New Roman"/>
        </w:rPr>
        <w:t>Iskazani iznos se odnosi na rashode koji se isplaćuju zaposlenima, a odnose se na prigodne godišnje nagrade, prava po kolektivnom ugovoru, te dodatke za uspješnost na radu.</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Doprinosi na plaće (šifre 3131 do 3133)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10.654,91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25.091,27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235,5</w:t>
            </w:r>
          </w:p>
        </w:tc>
      </w:tr>
    </w:tbl>
    <w:p>
      <w:pPr>
        <w:spacing w:before="0" w:after="0"/>
      </w:pPr>
    </w:p>
    <w:p>
      <w:pPr>
        <w:jc w:val="both"/>
        <w:pStyle w:val="Normal"/>
        <w:spacing w:line="240" w:lineRule="auto"/>
      </w:pPr>
      <w:r>
        <w:rPr>
          <w:sz w:val="24"/>
          <w:rFonts w:ascii="Times New Roman" w:hAnsi="Times New Roman"/>
        </w:rPr>
        <w:t>Iskazani iznos se odnosi na rashode za plaće (bruto) zaposlenih u općinskoj upravi i na projektu Radim i pomažem IV. i veći su u odnosu na isto razdoblje prethodne godine zbog većih troškova zaposlenih.</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troškova zaposlenima (šifre 3211 do 3214)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7.523,05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10.612,09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141,1</w:t>
            </w:r>
          </w:p>
        </w:tc>
      </w:tr>
    </w:tbl>
    <w:p>
      <w:pPr>
        <w:spacing w:before="0" w:after="0"/>
      </w:pPr>
    </w:p>
    <w:p>
      <w:pPr>
        <w:jc w:val="both"/>
        <w:pStyle w:val="Normal"/>
        <w:spacing w:line="240" w:lineRule="auto"/>
      </w:pPr>
      <w:r>
        <w:rPr>
          <w:sz w:val="24"/>
          <w:rFonts w:ascii="Times New Roman" w:hAnsi="Times New Roman"/>
        </w:rPr>
        <w:t>Iskazani iznos se odnosi na rashode za službena putovanja, stručno usavršavanje zaposlenika, naknade za prijevoz na posao i s posla. Iznos je veći u odnosu na isto razdoblje prethodne godine zbog većih troškova zaposlenih, a povećanje se odnosi na troškove prijevoza i ostale naknade troškova zaposlenima.</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materijal i energiju (šifre 3221 do 3227)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40.090,05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56.275,69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140,4</w:t>
            </w:r>
          </w:p>
        </w:tc>
      </w:tr>
    </w:tbl>
    <w:p>
      <w:pPr>
        <w:spacing w:before="0" w:after="0"/>
      </w:pPr>
    </w:p>
    <w:p>
      <w:pPr>
        <w:jc w:val="both"/>
        <w:pStyle w:val="Normal"/>
        <w:spacing w:line="240" w:lineRule="auto"/>
      </w:pPr>
      <w:r>
        <w:rPr>
          <w:sz w:val="24"/>
          <w:rFonts w:ascii="Times New Roman" w:hAnsi="Times New Roman"/>
        </w:rPr>
        <w:t>Iskazani iznos se odnosi na rashode za materijal i energiju i veći je u odnosu na isto razdoblje prethodne godine iz razloga što su veća izdvajanja za materijal za tekuće i investicijsko održavanje.</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usluge (šifre 3231 do 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360.187,42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317.489,48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88,1</w:t>
            </w:r>
          </w:p>
        </w:tc>
      </w:tr>
    </w:tbl>
    <w:p>
      <w:pPr>
        <w:spacing w:before="0" w:after="0"/>
      </w:pPr>
    </w:p>
    <w:p>
      <w:pPr>
        <w:jc w:val="both"/>
        <w:pStyle w:val="Normal"/>
        <w:spacing w:line="240" w:lineRule="auto"/>
      </w:pPr>
      <w:r>
        <w:rPr>
          <w:sz w:val="24"/>
          <w:rFonts w:ascii="Times New Roman" w:hAnsi="Times New Roman"/>
        </w:rPr>
        <w:t>Iskazani iznos se odnosi na rashode za usluge i manji su odnosu na isto razdoblje prethodne godine radi smanjenja troškova komunalnih usluga, dok su unutar grupe konta 323 povećani rashodi za usluge telefona, interneta i prijevoza, zakupnina i najamnina te zdravstvenih i veterinarskih usluga.</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troškova osobama izvan radnog odnosa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1.308,05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U izvještajnom razdoblju nije bilo rashoda za naknade troškova osobama izvan radnog odnosa.</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(šifre 3291 do 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35.003,40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66.676,12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190,5</w:t>
            </w:r>
          </w:p>
        </w:tc>
      </w:tr>
    </w:tbl>
    <w:p>
      <w:pPr>
        <w:spacing w:before="0" w:after="0"/>
      </w:pPr>
    </w:p>
    <w:p>
      <w:pPr>
        <w:jc w:val="both"/>
        <w:pStyle w:val="Normal"/>
        <w:spacing w:line="240" w:lineRule="auto"/>
      </w:pPr>
      <w:r>
        <w:rPr>
          <w:sz w:val="24"/>
          <w:rFonts w:ascii="Times New Roman" w:hAnsi="Times New Roman"/>
        </w:rPr>
        <w:t>Iskazani iznos se odnosi na ostale nespomenute rashode poslovanja koji su veći, a razlika povećanih rashoda je u rashodima za rad biračkih odbora i Općinskog izbornog povjerenstva za provedbu lokalnih izbora održanih 18.5.2025. i 1.6.2025. (II. krug za Općinskog načelnika) i rashodima za pristojbe i naknade.</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financijski rashodi (šifre 3431 do 3434)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1.610,60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2.062,28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128,0</w:t>
            </w:r>
          </w:p>
        </w:tc>
      </w:tr>
    </w:tbl>
    <w:p>
      <w:pPr>
        <w:spacing w:before="0" w:after="0"/>
      </w:pPr>
    </w:p>
    <w:p>
      <w:pPr>
        <w:jc w:val="both"/>
        <w:pStyle w:val="Normal"/>
        <w:spacing w:line="240" w:lineRule="auto"/>
      </w:pPr>
      <w:r>
        <w:rPr>
          <w:sz w:val="24"/>
          <w:rFonts w:ascii="Times New Roman" w:hAnsi="Times New Roman"/>
        </w:rPr>
        <w:t>Iskazani iznos se odnosi na bankovne troškove redovnog financijskog poslovanja i veći su odnosu na isto izvještajno razdoblje prethodne godine.</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proračunskim korisnicima drugih proračuna (šifre 3661 do 3663)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7.986,13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U izvještajnom razdoblju nije bilo prijenosa sredstava proračunskom korisniku drugih proračuna.</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naknade građanima i kućanstvima iz proračuna (šifre 3721 do 3723)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17.804,38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48.116,48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270,3</w:t>
            </w:r>
          </w:p>
        </w:tc>
      </w:tr>
    </w:tbl>
    <w:p>
      <w:pPr>
        <w:spacing w:before="0" w:after="0"/>
      </w:pPr>
    </w:p>
    <w:p>
      <w:pPr>
        <w:jc w:val="both"/>
        <w:pStyle w:val="Normal"/>
        <w:spacing w:line="240" w:lineRule="auto"/>
      </w:pPr>
      <w:r>
        <w:rPr>
          <w:sz w:val="24"/>
          <w:rFonts w:ascii="Times New Roman" w:hAnsi="Times New Roman"/>
        </w:rPr>
        <w:t>Iznos je veći u odnosu na isto izvještajno razdoblje prethodne godine radi većih zahtjeva za ostvarivanje naknada (jednokratne pomoći) te sufinanciranje pohađanja dječjih vrtića.</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 (šifre 3811 do 3813)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101.981,10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121.265,65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118,9</w:t>
            </w:r>
          </w:p>
        </w:tc>
      </w:tr>
    </w:tbl>
    <w:p>
      <w:pPr>
        <w:spacing w:before="0" w:after="0"/>
      </w:pPr>
    </w:p>
    <w:p>
      <w:pPr>
        <w:jc w:val="both"/>
        <w:pStyle w:val="Normal"/>
        <w:spacing w:line="240" w:lineRule="auto"/>
      </w:pPr>
      <w:r>
        <w:rPr>
          <w:sz w:val="24"/>
          <w:rFonts w:ascii="Times New Roman" w:hAnsi="Times New Roman"/>
        </w:rPr>
        <w:t>Iznos je veći u odnosu na isto izvještajno razdoblje prethodne godine, a rashodi se odnose na prijenose sredstava neprofitnim organizacijama, Vatrogasnoj zajednici i redovnom financiranju GD HCK.</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donacije (šifre 3821 do 3824)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Iznos se odnosi na sredstva po Odluci Grkokatoličkoj crkvi u Kaniži.</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materijalne imovine - prirodnih bogatstava (šifre 7111 do 7113)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604,50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498,3</w:t>
            </w:r>
          </w:p>
        </w:tc>
      </w:tr>
    </w:tbl>
    <w:p>
      <w:pPr>
        <w:spacing w:before="0" w:after="0"/>
      </w:pPr>
    </w:p>
    <w:p>
      <w:pPr>
        <w:jc w:val="both"/>
        <w:pStyle w:val="Normal"/>
        <w:spacing w:line="240" w:lineRule="auto"/>
      </w:pPr>
      <w:r>
        <w:rPr>
          <w:sz w:val="24"/>
          <w:rFonts w:ascii="Times New Roman" w:hAnsi="Times New Roman"/>
        </w:rPr>
        <w:t>Prihodi u izvještajnom razdoblju su više ostvareni u odnosu na isto razdoblje  prethodne godine, a odnose se na naplatu prihoda od prodaje zemljišta po sklopljenim ugovorima.</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Građevinski objekti (šifre 4211 do 4214)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133.068,55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586.056,43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440,4</w:t>
            </w:r>
          </w:p>
        </w:tc>
      </w:tr>
    </w:tbl>
    <w:p>
      <w:pPr>
        <w:spacing w:before="0" w:after="0"/>
      </w:pPr>
    </w:p>
    <w:p>
      <w:pPr>
        <w:jc w:val="both"/>
        <w:pStyle w:val="Normal"/>
        <w:spacing w:line="240" w:lineRule="auto"/>
      </w:pPr>
      <w:r>
        <w:rPr>
          <w:sz w:val="24"/>
          <w:rFonts w:ascii="Times New Roman" w:hAnsi="Times New Roman"/>
        </w:rPr>
        <w:t>Iznos u izvještajnom razdoblju je veći u odnosu na isto razdoblje prethodne godine radi ulaganja u izgradnju šumskih cesta financiranih iz EU sredstava.</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Postrojenja i oprema (šifre 4221 do 4228)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55.443,57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21.719,64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39,2</w:t>
            </w:r>
          </w:p>
        </w:tc>
      </w:tr>
    </w:tbl>
    <w:p>
      <w:pPr>
        <w:spacing w:before="0" w:after="0"/>
      </w:pPr>
    </w:p>
    <w:p>
      <w:pPr>
        <w:jc w:val="both"/>
        <w:pStyle w:val="Normal"/>
        <w:spacing w:line="240" w:lineRule="auto"/>
      </w:pPr>
      <w:r>
        <w:rPr>
          <w:sz w:val="24"/>
          <w:rFonts w:ascii="Times New Roman" w:hAnsi="Times New Roman"/>
        </w:rPr>
        <w:t>Iskazani iznos je manji u odnosu na isto izvještajno razdoblje prethodne godine jer nije nabavljana oprema.</w:t>
      </w:r>
    </w:p>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Višegodišnji nasadi i osnovno stado (šifre 4251+4252)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6.401,57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w:t>
            </w:r>
          </w:p>
        </w:tc>
      </w:tr>
    </w:tbl>
    <w:p>
      <w:pPr>
        <w:spacing w:before="0" w:after="0"/>
      </w:pPr>
    </w:p>
    <w:p>
      <w:pPr>
        <w:jc w:val="both"/>
        <w:pStyle w:val="Normal"/>
        <w:spacing w:line="240" w:lineRule="auto"/>
      </w:pPr>
      <w:r>
        <w:rPr>
          <w:sz w:val="24"/>
          <w:rFonts w:ascii="Times New Roman" w:hAnsi="Times New Roman"/>
        </w:rPr>
        <w:t>U izvještajnom razdoblju nije bilo rashoda.</w:t>
      </w:r>
    </w:p>
    <w:p/>
    <w:p>
      <w:pPr>
        <w:jc w:val="center"/>
        <w:pStyle w:val="Normal"/>
        <w:spacing w:line="240" w:lineRule="auto"/>
        <w:keepNext/>
      </w:pPr>
      <w:r>
        <w:rPr>
          <w:sz w:val="28"/>
          <w:rFonts w:ascii="Times New Roman" w:hAnsi="Times New Roman"/>
        </w:rPr>
        <w:t>Bilješka 27.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Dodatna ulaganja na građevinskim objektima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309.188,05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458.953,71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148,4</w:t>
            </w:r>
          </w:p>
        </w:tc>
      </w:tr>
    </w:tbl>
    <w:p>
      <w:pPr>
        <w:spacing w:before="0" w:after="0"/>
      </w:pPr>
    </w:p>
    <w:p>
      <w:pPr>
        <w:jc w:val="both"/>
        <w:pStyle w:val="Normal"/>
        <w:spacing w:line="240" w:lineRule="auto"/>
      </w:pPr>
      <w:r>
        <w:rPr>
          <w:sz w:val="24"/>
          <w:rFonts w:ascii="Times New Roman" w:hAnsi="Times New Roman"/>
        </w:rPr>
        <w:t>Iznos je značajno veći u odnosu na isto izvještajno razdoblje prethodne godine, a odnosi se na veća dodatna ulaganja u objekte u vlasništvu Općine Bebrina. Razlog povećanog rashoda je provedba EU projekta.</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Općina Bebrina nema dospjelih obveza na 30.06.2025.</w:t>
      </w:r>
    </w:p>
    <w:p/>
    <w:p>
      <w:pPr>
        <w:jc w:val="center"/>
        <w:pStyle w:val="Normal"/>
        <w:spacing w:line="240" w:lineRule="auto"/>
        <w:keepNext/>
      </w:pPr>
      <w:r>
        <w:rPr>
          <w:sz w:val="28"/>
          <w:rFonts w:ascii="Times New Roman" w:hAnsi="Times New Roman"/>
        </w:rPr>
        <w:t>Bilješka 29.</w:t>
      </w:r>
    </w:p>
    <w:p>
      <w:pPr>
        <w:jc w:val="both"/>
        <w:pStyle w:val="Normal"/>
        <w:spacing w:line="240" w:lineRule="auto"/>
      </w:pPr>
      <w:r>
        <w:rPr>
          <w:b/>
          <w:sz w:val="24"/>
          <w:rFonts w:ascii="Times New Roman" w:hAnsi="Times New Roman"/>
        </w:rPr>
        <w:t>Unutargrupne transakcije koje su u izvještajima eliminirane</w:t>
      </w:r>
    </w:p>
    <w:p>
      <w:pPr>
        <w:jc w:val="both"/>
        <w:pStyle w:val="Normal"/>
        <w:spacing w:line="240" w:lineRule="auto"/>
      </w:pPr>
      <w:r>
        <w:rPr>
          <w:sz w:val="24"/>
          <w:rFonts w:ascii="Times New Roman" w:hAnsi="Times New Roman"/>
        </w:rPr>
        <w:t>Općina Bebrina nema proračunskog korisnika u svojoj nadležnosti.</w:t>
      </w:r>
    </w:p>
    <w:p/>
    <w:p>
      <w:pPr>
        <w:jc w:val="center"/>
        <w:pStyle w:val="Normal"/>
        <w:spacing w:line="240" w:lineRule="auto"/>
        <w:keepNext/>
      </w:pPr>
      <w:r>
        <w:rPr>
          <w:sz w:val="28"/>
          <w:rFonts w:ascii="Times New Roman" w:hAnsi="Times New Roman"/>
        </w:rPr>
        <w:t>Bilješka 30.</w:t>
      </w:r>
    </w:p>
    <w:p>
      <w:pPr>
        <w:jc w:val="both"/>
        <w:pStyle w:val="Normal"/>
        <w:spacing w:line="240" w:lineRule="auto"/>
      </w:pPr>
      <w:r>
        <w:rPr>
          <w:b/>
          <w:sz w:val="24"/>
          <w:rFonts w:ascii="Times New Roman" w:hAnsi="Times New Roman"/>
        </w:rPr>
        <w:t>Manjak ili višak u poslovanju grupe i pregled strukture manjka/viška po proračunskim korisnicima </w:t>
      </w:r>
    </w:p>
    <w:p>
      <w:pPr>
        <w:jc w:val="both"/>
        <w:pStyle w:val="Normal"/>
        <w:spacing w:line="240" w:lineRule="auto"/>
      </w:pPr>
      <w:r>
        <w:rPr>
          <w:sz w:val="24"/>
          <w:rFonts w:ascii="Times New Roman" w:hAnsi="Times New Roman"/>
        </w:rPr>
        <w:t>Općina Bebrina nema proračunskog korisnika u svojoj nadležnosti.</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d43a65476bd4438a" /></Relationships>
</file>