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DE1F5">
      <w:pPr>
        <w:rPr>
          <w:rFonts w:ascii="Times New Roman" w:hAnsi="Times New Roman" w:cs="Times New Roman"/>
          <w:sz w:val="24"/>
          <w:szCs w:val="24"/>
        </w:rPr>
      </w:pPr>
      <w:r>
        <w:rPr>
          <w:sz w:val="24"/>
          <w:szCs w:val="24"/>
        </w:rPr>
        <mc:AlternateContent>
          <mc:Choice Requires="wps">
            <w:drawing>
              <wp:anchor distT="45720" distB="45720" distL="114300" distR="114300" simplePos="0" relativeHeight="251659264" behindDoc="0" locked="0" layoutInCell="1" allowOverlap="1">
                <wp:simplePos x="0" y="0"/>
                <wp:positionH relativeFrom="margin">
                  <wp:posOffset>488950</wp:posOffset>
                </wp:positionH>
                <wp:positionV relativeFrom="paragraph">
                  <wp:posOffset>89535</wp:posOffset>
                </wp:positionV>
                <wp:extent cx="755015" cy="755650"/>
                <wp:effectExtent l="0" t="0" r="6985" b="6350"/>
                <wp:wrapSquare wrapText="bothSides"/>
                <wp:docPr id="217" name="Tekstni okvir 2"/>
                <wp:cNvGraphicFramePr/>
                <a:graphic xmlns:a="http://schemas.openxmlformats.org/drawingml/2006/main">
                  <a:graphicData uri="http://schemas.microsoft.com/office/word/2010/wordprocessingShape">
                    <wps:wsp>
                      <wps:cNvSpPr txBox="1">
                        <a:spLocks noChangeArrowheads="1"/>
                      </wps:cNvSpPr>
                      <wps:spPr bwMode="auto">
                        <a:xfrm>
                          <a:off x="0" y="0"/>
                          <a:ext cx="755015" cy="755650"/>
                        </a:xfrm>
                        <a:prstGeom prst="rect">
                          <a:avLst/>
                        </a:prstGeom>
                        <a:solidFill>
                          <a:srgbClr val="FFFFFF"/>
                        </a:solidFill>
                        <a:ln w="9525">
                          <a:noFill/>
                          <a:miter lim="800000"/>
                        </a:ln>
                      </wps:spPr>
                      <wps:txbx>
                        <w:txbxContent>
                          <w:p w14:paraId="3855DEFE">
                            <w:r>
                              <w:drawing>
                                <wp:inline distT="0" distB="0" distL="0" distR="0">
                                  <wp:extent cx="484505" cy="642620"/>
                                  <wp:effectExtent l="0" t="0" r="0" b="508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91493" cy="651704"/>
                                          </a:xfrm>
                                          <a:prstGeom prst="rect">
                                            <a:avLst/>
                                          </a:prstGeom>
                                        </pic:spPr>
                                      </pic:pic>
                                    </a:graphicData>
                                  </a:graphic>
                                </wp:inline>
                              </w:drawing>
                            </w:r>
                          </w:p>
                        </w:txbxContent>
                      </wps:txbx>
                      <wps:bodyPr rot="0" vert="horz" wrap="square" lIns="91440" tIns="45720" rIns="91440" bIns="45720" anchor="t" anchorCtr="0">
                        <a:noAutofit/>
                      </wps:bodyPr>
                    </wps:wsp>
                  </a:graphicData>
                </a:graphic>
              </wp:anchor>
            </w:drawing>
          </mc:Choice>
          <mc:Fallback>
            <w:pict>
              <v:shape id="Tekstni okvir 2" o:spid="_x0000_s1026" o:spt="202" type="#_x0000_t202" style="position:absolute;left:0pt;margin-left:38.5pt;margin-top:7.05pt;height:59.5pt;width:59.45pt;mso-position-horizontal-relative:margin;mso-wrap-distance-bottom:3.6pt;mso-wrap-distance-left:9pt;mso-wrap-distance-right:9pt;mso-wrap-distance-top:3.6pt;z-index:251659264;mso-width-relative:page;mso-height-relative:page;" fillcolor="#FFFFFF" filled="t" stroked="f" coordsize="21600,21600" o:gfxdata="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qQwr7XAAAACQEAAA8AAAAAAAAAAQAgAAAAIgAAAGRycy9kb3ducmV2LnhtbFBLAQIU&#10;ABQAAAAIAIdO4kAo3C7TLQIAAFcEAAAOAAAAAAAAAAEAIAAAACYBAABkcnMvZTJvRG9jLnhtbFBL&#10;BQYAAAAABgAGAFkBAADFBQAAAAA=&#10;">
                <v:fill on="t" focussize="0,0"/>
                <v:stroke on="f" miterlimit="8" joinstyle="miter"/>
                <v:imagedata o:title=""/>
                <o:lock v:ext="edit" aspectratio="f"/>
                <v:textbox>
                  <w:txbxContent>
                    <w:p w14:paraId="3855DEFE">
                      <w:r>
                        <w:drawing>
                          <wp:inline distT="0" distB="0" distL="0" distR="0">
                            <wp:extent cx="484505" cy="642620"/>
                            <wp:effectExtent l="0" t="0" r="0" b="508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91493" cy="651704"/>
                                    </a:xfrm>
                                    <a:prstGeom prst="rect">
                                      <a:avLst/>
                                    </a:prstGeom>
                                  </pic:spPr>
                                </pic:pic>
                              </a:graphicData>
                            </a:graphic>
                          </wp:inline>
                        </w:drawing>
                      </w:r>
                    </w:p>
                  </w:txbxContent>
                </v:textbox>
                <w10:wrap type="square"/>
              </v:shape>
            </w:pict>
          </mc:Fallback>
        </mc:AlternateContent>
      </w:r>
    </w:p>
    <w:p w14:paraId="01424395">
      <w:pPr>
        <w:rPr>
          <w:rFonts w:ascii="Times New Roman" w:hAnsi="Times New Roman" w:cs="Times New Roman"/>
          <w:sz w:val="24"/>
          <w:szCs w:val="24"/>
        </w:rPr>
      </w:pPr>
    </w:p>
    <w:p w14:paraId="66275ADB">
      <w:pPr>
        <w:spacing w:after="0"/>
        <w:rPr>
          <w:rFonts w:ascii="Times New Roman" w:hAnsi="Times New Roman" w:cs="Times New Roman"/>
          <w:sz w:val="24"/>
          <w:szCs w:val="24"/>
        </w:rPr>
      </w:pPr>
      <w:r>
        <w:rPr>
          <w:sz w:val="24"/>
          <w:szCs w:val="24"/>
        </w:rPr>
        <mc:AlternateContent>
          <mc:Choice Requires="wps">
            <w:drawing>
              <wp:anchor distT="45720" distB="45720" distL="114300" distR="114300" simplePos="0" relativeHeight="251660288" behindDoc="0" locked="0" layoutInCell="1" allowOverlap="1">
                <wp:simplePos x="0" y="0"/>
                <wp:positionH relativeFrom="margin">
                  <wp:posOffset>-480695</wp:posOffset>
                </wp:positionH>
                <wp:positionV relativeFrom="paragraph">
                  <wp:posOffset>273050</wp:posOffset>
                </wp:positionV>
                <wp:extent cx="2724150" cy="1362075"/>
                <wp:effectExtent l="0" t="0" r="0" b="9525"/>
                <wp:wrapSquare wrapText="bothSides"/>
                <wp:docPr id="4" name="Tekstni okvir 2"/>
                <wp:cNvGraphicFramePr/>
                <a:graphic xmlns:a="http://schemas.openxmlformats.org/drawingml/2006/main">
                  <a:graphicData uri="http://schemas.microsoft.com/office/word/2010/wordprocessingShape">
                    <wps:wsp>
                      <wps:cNvSpPr txBox="1">
                        <a:spLocks noChangeArrowheads="1"/>
                      </wps:cNvSpPr>
                      <wps:spPr bwMode="auto">
                        <a:xfrm>
                          <a:off x="0" y="0"/>
                          <a:ext cx="2724150" cy="1362075"/>
                        </a:xfrm>
                        <a:prstGeom prst="rect">
                          <a:avLst/>
                        </a:prstGeom>
                        <a:solidFill>
                          <a:srgbClr val="FFFFFF"/>
                        </a:solidFill>
                        <a:ln w="9525">
                          <a:noFill/>
                          <a:miter lim="800000"/>
                        </a:ln>
                      </wps:spPr>
                      <wps:txbx>
                        <w:txbxContent>
                          <w:p w14:paraId="4EE816CC">
                            <w:pPr>
                              <w:spacing w:after="0" w:line="240" w:lineRule="auto"/>
                              <w:jc w:val="center"/>
                              <w:rPr>
                                <w:rFonts w:ascii="Times New Roman" w:hAnsi="Times New Roman" w:cs="Times New Roman"/>
                                <w:sz w:val="24"/>
                              </w:rPr>
                            </w:pPr>
                            <w:r>
                              <w:rPr>
                                <w:rFonts w:ascii="Times New Roman" w:hAnsi="Times New Roman" w:cs="Times New Roman"/>
                                <w:sz w:val="24"/>
                              </w:rPr>
                              <w:t>REPUBLIKA HRVATSKA</w:t>
                            </w:r>
                          </w:p>
                          <w:p w14:paraId="38BF7A49">
                            <w:pPr>
                              <w:spacing w:after="0" w:line="240" w:lineRule="auto"/>
                              <w:jc w:val="center"/>
                              <w:rPr>
                                <w:rFonts w:ascii="Times New Roman" w:hAnsi="Times New Roman" w:cs="Times New Roman"/>
                                <w:sz w:val="24"/>
                              </w:rPr>
                            </w:pPr>
                            <w:r>
                              <w:rPr>
                                <w:rFonts w:ascii="Times New Roman" w:hAnsi="Times New Roman" w:cs="Times New Roman"/>
                                <w:sz w:val="24"/>
                              </w:rPr>
                              <w:t>BRODSKO-POSAVSKA-ŽUPANIJA</w:t>
                            </w:r>
                          </w:p>
                          <w:p w14:paraId="24C304C2">
                            <w:pPr>
                              <w:spacing w:after="0" w:line="240" w:lineRule="auto"/>
                              <w:jc w:val="center"/>
                              <w:rPr>
                                <w:rFonts w:ascii="Times New Roman" w:hAnsi="Times New Roman" w:cs="Times New Roman"/>
                                <w:sz w:val="24"/>
                              </w:rPr>
                            </w:pPr>
                            <w:r>
                              <w:rPr>
                                <w:rFonts w:ascii="Times New Roman" w:hAnsi="Times New Roman" w:cs="Times New Roman"/>
                                <w:sz w:val="24"/>
                              </w:rPr>
                              <w:t>OPĆINA BEBRINA</w:t>
                            </w:r>
                          </w:p>
                          <w:p w14:paraId="689A4FD4">
                            <w:pPr>
                              <w:spacing w:after="0" w:line="240" w:lineRule="auto"/>
                              <w:jc w:val="center"/>
                              <w:rPr>
                                <w:rFonts w:ascii="Times New Roman" w:hAnsi="Times New Roman" w:cs="Times New Roman"/>
                                <w:sz w:val="24"/>
                              </w:rPr>
                            </w:pPr>
                            <w:r>
                              <w:rPr>
                                <w:rFonts w:ascii="Times New Roman" w:hAnsi="Times New Roman" w:cs="Times New Roman"/>
                                <w:sz w:val="24"/>
                              </w:rPr>
                              <w:t>Povjerenstvo za provedbu prijema službenika/ce u službu u Jedinstveni upravni odjel Općine Bebrina</w:t>
                            </w:r>
                          </w:p>
                          <w:p w14:paraId="02F5718E">
                            <w:pPr>
                              <w:spacing w:after="0" w:line="240" w:lineRule="auto"/>
                              <w:jc w:val="center"/>
                              <w:rPr>
                                <w:rFonts w:ascii="Times New Roman" w:hAnsi="Times New Roman" w:cs="Times New Roman"/>
                                <w:sz w:val="24"/>
                              </w:rPr>
                            </w:pPr>
                            <w:r>
                              <w:rPr>
                                <w:rFonts w:ascii="Times New Roman" w:hAnsi="Times New Roman" w:cs="Times New Roman"/>
                                <w:sz w:val="24"/>
                              </w:rPr>
                              <w:t>Bebrina 83, 35254 Bebrina</w:t>
                            </w:r>
                          </w:p>
                          <w:p w14:paraId="1D11F987">
                            <w:pPr>
                              <w:spacing w:after="0" w:line="240" w:lineRule="auto"/>
                              <w:jc w:val="center"/>
                              <w:rPr>
                                <w:rFonts w:ascii="Times New Roman" w:hAnsi="Times New Roman" w:cs="Times New Roman"/>
                                <w:sz w:val="24"/>
                              </w:rPr>
                            </w:pPr>
                            <w:r>
                              <w:rPr>
                                <w:rFonts w:ascii="Times New Roman" w:hAnsi="Times New Roman" w:cs="Times New Roman"/>
                                <w:sz w:val="24"/>
                              </w:rPr>
                              <w:t>OIB: 52630455645</w:t>
                            </w:r>
                          </w:p>
                          <w:p w14:paraId="559E7893">
                            <w:pPr>
                              <w:spacing w:after="0" w:line="240" w:lineRule="auto"/>
                              <w:jc w:val="center"/>
                              <w:rPr>
                                <w:rFonts w:ascii="Times New Roman" w:hAnsi="Times New Roman" w:cs="Times New Roman"/>
                                <w:sz w:val="24"/>
                              </w:rPr>
                            </w:pPr>
                            <w:r>
                              <w:rPr>
                                <w:rFonts w:ascii="Times New Roman" w:hAnsi="Times New Roman" w:cs="Times New Roman"/>
                                <w:sz w:val="24"/>
                              </w:rPr>
                              <w:t>Tel:035/433-109</w:t>
                            </w:r>
                          </w:p>
                        </w:txbxContent>
                      </wps:txbx>
                      <wps:bodyPr rot="0" vert="horz" wrap="square" lIns="91440" tIns="45720" rIns="91440" bIns="45720" anchor="t" anchorCtr="0">
                        <a:noAutofit/>
                      </wps:bodyPr>
                    </wps:wsp>
                  </a:graphicData>
                </a:graphic>
              </wp:anchor>
            </w:drawing>
          </mc:Choice>
          <mc:Fallback>
            <w:pict>
              <v:shape id="Tekstni okvir 2" o:spid="_x0000_s1026" o:spt="202" type="#_x0000_t202" style="position:absolute;left:0pt;margin-left:-37.85pt;margin-top:21.5pt;height:107.25pt;width:214.5pt;mso-position-horizontal-relative:margin;mso-wrap-distance-bottom:3.6pt;mso-wrap-distance-left:9pt;mso-wrap-distance-right:9pt;mso-wrap-distance-top:3.6pt;z-index:251660288;mso-width-relative:page;mso-height-relative:page;" fillcolor="#FFFFFF" filled="t" stroked="f" coordsize="21600,21600" o:gfxdata="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T1C6rZAAAACgEAAA8AAAAAAAAAAQAgAAAAIgAAAGRycy9kb3ducmV2LnhtbFBL&#10;AQIUABQAAAAIAIdO4kANVZrzLgIAAFcEAAAOAAAAAAAAAAEAIAAAACgBAABkcnMvZTJvRG9jLnht&#10;bFBLBQYAAAAABgAGAFkBAADIBQAAAAA=&#10;">
                <v:fill on="t" focussize="0,0"/>
                <v:stroke on="f" miterlimit="8" joinstyle="miter"/>
                <v:imagedata o:title=""/>
                <o:lock v:ext="edit" aspectratio="f"/>
                <v:textbox>
                  <w:txbxContent>
                    <w:p w14:paraId="4EE816CC">
                      <w:pPr>
                        <w:spacing w:after="0" w:line="240" w:lineRule="auto"/>
                        <w:jc w:val="center"/>
                        <w:rPr>
                          <w:rFonts w:ascii="Times New Roman" w:hAnsi="Times New Roman" w:cs="Times New Roman"/>
                          <w:sz w:val="24"/>
                        </w:rPr>
                      </w:pPr>
                      <w:r>
                        <w:rPr>
                          <w:rFonts w:ascii="Times New Roman" w:hAnsi="Times New Roman" w:cs="Times New Roman"/>
                          <w:sz w:val="24"/>
                        </w:rPr>
                        <w:t>REPUBLIKA HRVATSKA</w:t>
                      </w:r>
                    </w:p>
                    <w:p w14:paraId="38BF7A49">
                      <w:pPr>
                        <w:spacing w:after="0" w:line="240" w:lineRule="auto"/>
                        <w:jc w:val="center"/>
                        <w:rPr>
                          <w:rFonts w:ascii="Times New Roman" w:hAnsi="Times New Roman" w:cs="Times New Roman"/>
                          <w:sz w:val="24"/>
                        </w:rPr>
                      </w:pPr>
                      <w:r>
                        <w:rPr>
                          <w:rFonts w:ascii="Times New Roman" w:hAnsi="Times New Roman" w:cs="Times New Roman"/>
                          <w:sz w:val="24"/>
                        </w:rPr>
                        <w:t>BRODSKO-POSAVSKA-ŽUPANIJA</w:t>
                      </w:r>
                    </w:p>
                    <w:p w14:paraId="24C304C2">
                      <w:pPr>
                        <w:spacing w:after="0" w:line="240" w:lineRule="auto"/>
                        <w:jc w:val="center"/>
                        <w:rPr>
                          <w:rFonts w:ascii="Times New Roman" w:hAnsi="Times New Roman" w:cs="Times New Roman"/>
                          <w:sz w:val="24"/>
                        </w:rPr>
                      </w:pPr>
                      <w:r>
                        <w:rPr>
                          <w:rFonts w:ascii="Times New Roman" w:hAnsi="Times New Roman" w:cs="Times New Roman"/>
                          <w:sz w:val="24"/>
                        </w:rPr>
                        <w:t>OPĆINA BEBRINA</w:t>
                      </w:r>
                    </w:p>
                    <w:p w14:paraId="689A4FD4">
                      <w:pPr>
                        <w:spacing w:after="0" w:line="240" w:lineRule="auto"/>
                        <w:jc w:val="center"/>
                        <w:rPr>
                          <w:rFonts w:ascii="Times New Roman" w:hAnsi="Times New Roman" w:cs="Times New Roman"/>
                          <w:sz w:val="24"/>
                        </w:rPr>
                      </w:pPr>
                      <w:r>
                        <w:rPr>
                          <w:rFonts w:ascii="Times New Roman" w:hAnsi="Times New Roman" w:cs="Times New Roman"/>
                          <w:sz w:val="24"/>
                        </w:rPr>
                        <w:t>Povjerenstvo za provedbu prijema službenika/ce u službu u Jedinstveni upravni odjel Općine Bebrina</w:t>
                      </w:r>
                    </w:p>
                    <w:p w14:paraId="02F5718E">
                      <w:pPr>
                        <w:spacing w:after="0" w:line="240" w:lineRule="auto"/>
                        <w:jc w:val="center"/>
                        <w:rPr>
                          <w:rFonts w:ascii="Times New Roman" w:hAnsi="Times New Roman" w:cs="Times New Roman"/>
                          <w:sz w:val="24"/>
                        </w:rPr>
                      </w:pPr>
                      <w:r>
                        <w:rPr>
                          <w:rFonts w:ascii="Times New Roman" w:hAnsi="Times New Roman" w:cs="Times New Roman"/>
                          <w:sz w:val="24"/>
                        </w:rPr>
                        <w:t>Bebrina 83, 35254 Bebrina</w:t>
                      </w:r>
                    </w:p>
                    <w:p w14:paraId="1D11F987">
                      <w:pPr>
                        <w:spacing w:after="0" w:line="240" w:lineRule="auto"/>
                        <w:jc w:val="center"/>
                        <w:rPr>
                          <w:rFonts w:ascii="Times New Roman" w:hAnsi="Times New Roman" w:cs="Times New Roman"/>
                          <w:sz w:val="24"/>
                        </w:rPr>
                      </w:pPr>
                      <w:r>
                        <w:rPr>
                          <w:rFonts w:ascii="Times New Roman" w:hAnsi="Times New Roman" w:cs="Times New Roman"/>
                          <w:sz w:val="24"/>
                        </w:rPr>
                        <w:t>OIB: 52630455645</w:t>
                      </w:r>
                    </w:p>
                    <w:p w14:paraId="559E7893">
                      <w:pPr>
                        <w:spacing w:after="0" w:line="240" w:lineRule="auto"/>
                        <w:jc w:val="center"/>
                        <w:rPr>
                          <w:rFonts w:ascii="Times New Roman" w:hAnsi="Times New Roman" w:cs="Times New Roman"/>
                          <w:sz w:val="24"/>
                        </w:rPr>
                      </w:pPr>
                      <w:r>
                        <w:rPr>
                          <w:rFonts w:ascii="Times New Roman" w:hAnsi="Times New Roman" w:cs="Times New Roman"/>
                          <w:sz w:val="24"/>
                        </w:rPr>
                        <w:t>Tel:035/433-109</w:t>
                      </w:r>
                    </w:p>
                  </w:txbxContent>
                </v:textbox>
                <w10:wrap type="square"/>
              </v:shape>
            </w:pict>
          </mc:Fallback>
        </mc:AlternateContent>
      </w:r>
    </w:p>
    <w:p w14:paraId="0ED57874">
      <w:pPr>
        <w:spacing w:after="0"/>
        <w:rPr>
          <w:rFonts w:ascii="Times New Roman" w:hAnsi="Times New Roman" w:cs="Times New Roman"/>
          <w:sz w:val="24"/>
          <w:szCs w:val="24"/>
        </w:rPr>
      </w:pPr>
    </w:p>
    <w:p w14:paraId="2E7AA081">
      <w:pPr>
        <w:spacing w:after="0"/>
        <w:rPr>
          <w:rFonts w:ascii="Times New Roman" w:hAnsi="Times New Roman" w:cs="Times New Roman"/>
          <w:sz w:val="24"/>
          <w:szCs w:val="24"/>
        </w:rPr>
      </w:pPr>
    </w:p>
    <w:p w14:paraId="316C4EB4">
      <w:pPr>
        <w:spacing w:after="0"/>
        <w:rPr>
          <w:rFonts w:ascii="Times New Roman" w:hAnsi="Times New Roman" w:cs="Times New Roman"/>
          <w:sz w:val="24"/>
          <w:szCs w:val="24"/>
        </w:rPr>
      </w:pPr>
    </w:p>
    <w:p w14:paraId="23142111">
      <w:pPr>
        <w:spacing w:after="0"/>
        <w:rPr>
          <w:rFonts w:ascii="Times New Roman" w:hAnsi="Times New Roman" w:cs="Times New Roman"/>
          <w:sz w:val="24"/>
          <w:szCs w:val="24"/>
        </w:rPr>
      </w:pPr>
    </w:p>
    <w:p w14:paraId="56453C33">
      <w:pPr>
        <w:spacing w:after="0"/>
        <w:rPr>
          <w:rFonts w:ascii="Times New Roman" w:hAnsi="Times New Roman" w:cs="Times New Roman"/>
          <w:sz w:val="24"/>
          <w:szCs w:val="24"/>
        </w:rPr>
      </w:pPr>
    </w:p>
    <w:p w14:paraId="3923651E">
      <w:pPr>
        <w:spacing w:after="0"/>
        <w:rPr>
          <w:rFonts w:ascii="Times New Roman" w:hAnsi="Times New Roman" w:cs="Times New Roman"/>
          <w:sz w:val="24"/>
          <w:szCs w:val="24"/>
        </w:rPr>
      </w:pPr>
    </w:p>
    <w:p w14:paraId="1DEAFBA7">
      <w:pPr>
        <w:spacing w:after="0"/>
        <w:rPr>
          <w:rFonts w:ascii="Times New Roman" w:hAnsi="Times New Roman" w:cs="Times New Roman"/>
          <w:sz w:val="24"/>
          <w:szCs w:val="24"/>
        </w:rPr>
      </w:pPr>
    </w:p>
    <w:p w14:paraId="5AC501A5">
      <w:pPr>
        <w:spacing w:after="0"/>
        <w:rPr>
          <w:rFonts w:ascii="Times New Roman" w:hAnsi="Times New Roman" w:cs="Times New Roman"/>
          <w:sz w:val="24"/>
          <w:szCs w:val="24"/>
        </w:rPr>
      </w:pPr>
    </w:p>
    <w:p w14:paraId="52DCF7D3">
      <w:pPr>
        <w:spacing w:after="0"/>
        <w:rPr>
          <w:rFonts w:ascii="Times New Roman" w:hAnsi="Times New Roman" w:cs="Times New Roman"/>
          <w:sz w:val="24"/>
          <w:szCs w:val="24"/>
        </w:rPr>
      </w:pPr>
      <w:r>
        <w:rPr>
          <w:rFonts w:ascii="Times New Roman" w:hAnsi="Times New Roman" w:cs="Times New Roman"/>
          <w:sz w:val="24"/>
          <w:szCs w:val="24"/>
        </w:rPr>
        <w:t>KLASA: 112-01/2</w:t>
      </w:r>
      <w:r>
        <w:rPr>
          <w:rFonts w:hint="default" w:ascii="Times New Roman" w:hAnsi="Times New Roman" w:cs="Times New Roman"/>
          <w:sz w:val="24"/>
          <w:szCs w:val="24"/>
          <w:lang w:val="hr-HR"/>
        </w:rPr>
        <w:t>5</w:t>
      </w:r>
      <w:r>
        <w:rPr>
          <w:rFonts w:ascii="Times New Roman" w:hAnsi="Times New Roman" w:cs="Times New Roman"/>
          <w:sz w:val="24"/>
          <w:szCs w:val="24"/>
        </w:rPr>
        <w:t>-01/5</w:t>
      </w:r>
    </w:p>
    <w:p w14:paraId="021C2E2D">
      <w:pPr>
        <w:spacing w:after="0"/>
        <w:rPr>
          <w:rFonts w:hint="default" w:ascii="Times New Roman" w:hAnsi="Times New Roman" w:cs="Times New Roman"/>
          <w:sz w:val="24"/>
          <w:szCs w:val="24"/>
          <w:lang w:val="hr-HR"/>
        </w:rPr>
      </w:pPr>
      <w:r>
        <w:rPr>
          <w:rFonts w:ascii="Times New Roman" w:hAnsi="Times New Roman" w:cs="Times New Roman"/>
          <w:sz w:val="24"/>
          <w:szCs w:val="24"/>
        </w:rPr>
        <w:t>URBROJ: 2178-2-04-2</w:t>
      </w:r>
      <w:r>
        <w:rPr>
          <w:rFonts w:hint="default" w:ascii="Times New Roman" w:hAnsi="Times New Roman" w:cs="Times New Roman"/>
          <w:sz w:val="24"/>
          <w:szCs w:val="24"/>
          <w:lang w:val="hr-HR"/>
        </w:rPr>
        <w:t>6</w:t>
      </w:r>
      <w:r>
        <w:rPr>
          <w:rFonts w:ascii="Times New Roman" w:hAnsi="Times New Roman" w:cs="Times New Roman"/>
          <w:sz w:val="24"/>
          <w:szCs w:val="24"/>
        </w:rPr>
        <w:t>-</w:t>
      </w:r>
      <w:r>
        <w:rPr>
          <w:rFonts w:hint="default" w:ascii="Times New Roman" w:hAnsi="Times New Roman" w:cs="Times New Roman"/>
          <w:sz w:val="24"/>
          <w:szCs w:val="24"/>
          <w:lang w:val="hr-HR"/>
        </w:rPr>
        <w:t>16</w:t>
      </w:r>
    </w:p>
    <w:p w14:paraId="0E2423A1">
      <w:pPr>
        <w:spacing w:after="0"/>
        <w:rPr>
          <w:rFonts w:ascii="Times New Roman" w:hAnsi="Times New Roman" w:cs="Times New Roman"/>
          <w:sz w:val="24"/>
          <w:szCs w:val="24"/>
        </w:rPr>
      </w:pPr>
      <w:r>
        <w:rPr>
          <w:rFonts w:ascii="Times New Roman" w:hAnsi="Times New Roman" w:cs="Times New Roman"/>
          <w:sz w:val="24"/>
          <w:szCs w:val="24"/>
        </w:rPr>
        <w:t xml:space="preserve">Bebrina, </w:t>
      </w:r>
      <w:r>
        <w:rPr>
          <w:rFonts w:hint="default" w:ascii="Times New Roman" w:hAnsi="Times New Roman" w:cs="Times New Roman"/>
          <w:sz w:val="24"/>
          <w:szCs w:val="24"/>
          <w:lang w:val="hr-HR"/>
        </w:rPr>
        <w:t>20</w:t>
      </w:r>
      <w:r>
        <w:rPr>
          <w:rFonts w:ascii="Times New Roman" w:hAnsi="Times New Roman" w:cs="Times New Roman"/>
          <w:sz w:val="24"/>
          <w:szCs w:val="24"/>
        </w:rPr>
        <w:t xml:space="preserve">. </w:t>
      </w:r>
      <w:r>
        <w:rPr>
          <w:rFonts w:hint="default" w:ascii="Times New Roman" w:hAnsi="Times New Roman" w:cs="Times New Roman"/>
          <w:sz w:val="24"/>
          <w:szCs w:val="24"/>
          <w:lang w:val="hr-HR"/>
        </w:rPr>
        <w:t>veljače</w:t>
      </w:r>
      <w:r>
        <w:rPr>
          <w:rFonts w:ascii="Times New Roman" w:hAnsi="Times New Roman" w:cs="Times New Roman"/>
          <w:sz w:val="24"/>
          <w:szCs w:val="24"/>
        </w:rPr>
        <w:t xml:space="preserve"> 202</w:t>
      </w:r>
      <w:r>
        <w:rPr>
          <w:rFonts w:hint="default" w:ascii="Times New Roman" w:hAnsi="Times New Roman" w:cs="Times New Roman"/>
          <w:sz w:val="24"/>
          <w:szCs w:val="24"/>
          <w:lang w:val="hr-HR"/>
        </w:rPr>
        <w:t>6</w:t>
      </w:r>
      <w:r>
        <w:rPr>
          <w:rFonts w:ascii="Times New Roman" w:hAnsi="Times New Roman" w:cs="Times New Roman"/>
          <w:sz w:val="24"/>
          <w:szCs w:val="24"/>
        </w:rPr>
        <w:t>. godine</w:t>
      </w:r>
    </w:p>
    <w:p w14:paraId="1B77A292">
      <w:pPr>
        <w:jc w:val="both"/>
        <w:rPr>
          <w:rFonts w:ascii="Times New Roman" w:hAnsi="Times New Roman" w:cs="Times New Roman"/>
          <w:sz w:val="24"/>
          <w:szCs w:val="24"/>
        </w:rPr>
      </w:pPr>
    </w:p>
    <w:p w14:paraId="5DA8C7A9">
      <w:pPr>
        <w:jc w:val="both"/>
        <w:rPr>
          <w:rFonts w:ascii="Times New Roman" w:hAnsi="Times New Roman" w:cs="Times New Roman"/>
          <w:bCs/>
          <w:sz w:val="24"/>
          <w:szCs w:val="24"/>
        </w:rPr>
      </w:pPr>
      <w:r>
        <w:rPr>
          <w:rFonts w:ascii="Times New Roman" w:hAnsi="Times New Roman" w:cs="Times New Roman"/>
          <w:bCs/>
          <w:sz w:val="24"/>
          <w:szCs w:val="24"/>
        </w:rPr>
        <w:t>Temeljem članka 20. i 22. Zakona o službenicima i namještenicima u lokalnoj i područnoj (regionalnoj) samoupravi („Narodne novine“ broj 86/08, 61/11, 04/18, 112/19</w:t>
      </w:r>
      <w:r>
        <w:rPr>
          <w:rFonts w:hint="default" w:ascii="Times New Roman" w:hAnsi="Times New Roman" w:cs="Times New Roman"/>
          <w:bCs/>
          <w:sz w:val="24"/>
          <w:szCs w:val="24"/>
          <w:lang w:val="hr-HR"/>
        </w:rPr>
        <w:t xml:space="preserve"> i 17/25</w:t>
      </w:r>
      <w:r>
        <w:rPr>
          <w:rFonts w:ascii="Times New Roman" w:hAnsi="Times New Roman" w:cs="Times New Roman"/>
          <w:bCs/>
          <w:sz w:val="24"/>
          <w:szCs w:val="24"/>
        </w:rPr>
        <w:t>) Povjerenstvo za provedbu prijema službenika/ce u službu u Jedinstveni upravni odjel Općine Bebrina</w:t>
      </w:r>
    </w:p>
    <w:p w14:paraId="07D94BBB">
      <w:pPr>
        <w:jc w:val="center"/>
        <w:rPr>
          <w:rFonts w:ascii="Times New Roman" w:hAnsi="Times New Roman" w:cs="Times New Roman"/>
          <w:b/>
          <w:sz w:val="24"/>
          <w:szCs w:val="24"/>
        </w:rPr>
      </w:pPr>
      <w:r>
        <w:rPr>
          <w:rFonts w:ascii="Times New Roman" w:hAnsi="Times New Roman" w:cs="Times New Roman"/>
          <w:b/>
          <w:sz w:val="24"/>
          <w:szCs w:val="24"/>
        </w:rPr>
        <w:t xml:space="preserve">PRETHODNU PROVJERU ZNANJA I SPOSOBNOSTI </w:t>
      </w:r>
    </w:p>
    <w:p w14:paraId="44A352D5">
      <w:pPr>
        <w:jc w:val="both"/>
        <w:rPr>
          <w:rFonts w:ascii="Times New Roman" w:hAnsi="Times New Roman" w:cs="Times New Roman"/>
          <w:b/>
          <w:sz w:val="24"/>
          <w:szCs w:val="24"/>
        </w:rPr>
      </w:pPr>
      <w:r>
        <w:rPr>
          <w:rFonts w:ascii="Times New Roman" w:hAnsi="Times New Roman" w:cs="Times New Roman"/>
          <w:color w:val="3A3A3A"/>
          <w:sz w:val="24"/>
          <w:szCs w:val="24"/>
          <w:shd w:val="clear" w:color="auto" w:fill="FFFFFF"/>
        </w:rPr>
        <w:t>Prethodna provjera znanja i sposobnosti kandidata za prijam službenika u službu, na radno mjesto komunalni i poljoprivredni redar, na neodređeno vrijeme u Jedinstveni upravni odjel općine Bebrina održat će se </w:t>
      </w:r>
      <w:r>
        <w:rPr>
          <w:rFonts w:hint="default" w:ascii="Times New Roman" w:hAnsi="Times New Roman" w:cs="Times New Roman"/>
          <w:b/>
          <w:bCs/>
          <w:color w:val="3A3A3A"/>
          <w:sz w:val="24"/>
          <w:szCs w:val="24"/>
          <w:shd w:val="clear" w:color="auto" w:fill="FFFFFF"/>
          <w:lang w:val="hr-HR"/>
        </w:rPr>
        <w:t>26</w:t>
      </w:r>
      <w:r>
        <w:rPr>
          <w:rFonts w:ascii="Times New Roman" w:hAnsi="Times New Roman" w:cs="Times New Roman"/>
          <w:b/>
          <w:bCs/>
          <w:color w:val="3A3A3A"/>
          <w:sz w:val="24"/>
          <w:szCs w:val="24"/>
          <w:shd w:val="clear" w:color="auto" w:fill="FFFFFF"/>
        </w:rPr>
        <w:t xml:space="preserve">. </w:t>
      </w:r>
      <w:r>
        <w:rPr>
          <w:rFonts w:hint="default" w:ascii="Times New Roman" w:hAnsi="Times New Roman" w:cs="Times New Roman"/>
          <w:b/>
          <w:bCs/>
          <w:color w:val="3A3A3A"/>
          <w:sz w:val="24"/>
          <w:szCs w:val="24"/>
          <w:shd w:val="clear" w:color="auto" w:fill="FFFFFF"/>
          <w:lang w:val="hr-HR"/>
        </w:rPr>
        <w:t>veljače</w:t>
      </w:r>
      <w:r>
        <w:rPr>
          <w:rFonts w:ascii="Times New Roman" w:hAnsi="Times New Roman" w:cs="Times New Roman"/>
          <w:b/>
          <w:bCs/>
          <w:color w:val="3A3A3A"/>
          <w:sz w:val="24"/>
          <w:szCs w:val="24"/>
          <w:shd w:val="clear" w:color="auto" w:fill="FFFFFF"/>
        </w:rPr>
        <w:t xml:space="preserve"> 202</w:t>
      </w:r>
      <w:r>
        <w:rPr>
          <w:rFonts w:hint="default" w:ascii="Times New Roman" w:hAnsi="Times New Roman" w:cs="Times New Roman"/>
          <w:b/>
          <w:bCs/>
          <w:color w:val="3A3A3A"/>
          <w:sz w:val="24"/>
          <w:szCs w:val="24"/>
          <w:shd w:val="clear" w:color="auto" w:fill="FFFFFF"/>
          <w:lang w:val="hr-HR"/>
        </w:rPr>
        <w:t>6</w:t>
      </w:r>
      <w:r>
        <w:rPr>
          <w:rFonts w:ascii="Times New Roman" w:hAnsi="Times New Roman" w:cs="Times New Roman"/>
          <w:b/>
          <w:bCs/>
          <w:color w:val="3A3A3A"/>
          <w:sz w:val="24"/>
          <w:szCs w:val="24"/>
          <w:shd w:val="clear" w:color="auto" w:fill="FFFFFF"/>
        </w:rPr>
        <w:t>. godine</w:t>
      </w:r>
      <w:r>
        <w:rPr>
          <w:rStyle w:val="5"/>
          <w:rFonts w:ascii="Times New Roman" w:hAnsi="Times New Roman" w:cs="Times New Roman"/>
          <w:b/>
          <w:bCs/>
          <w:color w:val="3A3A3A"/>
          <w:sz w:val="24"/>
          <w:szCs w:val="24"/>
          <w:u w:val="single"/>
          <w:shd w:val="clear" w:color="auto" w:fill="FFFFFF"/>
        </w:rPr>
        <w:t>,  s početkom u 15:</w:t>
      </w:r>
      <w:r>
        <w:rPr>
          <w:rStyle w:val="5"/>
          <w:rFonts w:hint="default" w:ascii="Times New Roman" w:hAnsi="Times New Roman" w:cs="Times New Roman"/>
          <w:b/>
          <w:bCs/>
          <w:color w:val="3A3A3A"/>
          <w:sz w:val="24"/>
          <w:szCs w:val="24"/>
          <w:u w:val="single"/>
          <w:shd w:val="clear" w:color="auto" w:fill="FFFFFF"/>
          <w:lang w:val="hr-HR"/>
        </w:rPr>
        <w:t>3</w:t>
      </w:r>
      <w:r>
        <w:rPr>
          <w:rStyle w:val="5"/>
          <w:rFonts w:ascii="Times New Roman" w:hAnsi="Times New Roman" w:cs="Times New Roman"/>
          <w:b/>
          <w:bCs/>
          <w:color w:val="3A3A3A"/>
          <w:sz w:val="24"/>
          <w:szCs w:val="24"/>
          <w:u w:val="single"/>
          <w:shd w:val="clear" w:color="auto" w:fill="FFFFFF"/>
        </w:rPr>
        <w:t>0 sati, u prostorijama Općine Bebrina, Bebrina 81 (zgrada stare općine), 35 254 Bebrina.</w:t>
      </w:r>
    </w:p>
    <w:p w14:paraId="26776B35">
      <w:pPr>
        <w:jc w:val="both"/>
        <w:rPr>
          <w:rFonts w:ascii="Times New Roman" w:hAnsi="Times New Roman" w:cs="Times New Roman"/>
          <w:color w:val="3A3A3A"/>
          <w:sz w:val="24"/>
          <w:szCs w:val="24"/>
          <w:shd w:val="clear" w:color="auto" w:fill="FFFFFF"/>
        </w:rPr>
      </w:pPr>
      <w:r>
        <w:rPr>
          <w:rFonts w:ascii="Times New Roman" w:hAnsi="Times New Roman" w:cs="Times New Roman"/>
          <w:color w:val="3A3A3A"/>
          <w:sz w:val="24"/>
          <w:szCs w:val="24"/>
          <w:shd w:val="clear" w:color="auto" w:fill="FFFFFF"/>
        </w:rPr>
        <w:t>Testiranju mogu pristupiti kandidati/inje koji ispunjavaju formalne uvjete iz Natječaja, a čije su prijave pravodobne i uredne.</w:t>
      </w:r>
    </w:p>
    <w:p w14:paraId="2F1BFED5">
      <w:pPr>
        <w:jc w:val="both"/>
        <w:rPr>
          <w:rFonts w:ascii="Times New Roman" w:hAnsi="Times New Roman" w:cs="Times New Roman"/>
          <w:b/>
          <w:bCs/>
          <w:color w:val="3A3A3A"/>
          <w:sz w:val="24"/>
          <w:szCs w:val="24"/>
          <w:shd w:val="clear" w:color="auto" w:fill="FFFFFF"/>
        </w:rPr>
      </w:pPr>
      <w:r>
        <w:rPr>
          <w:rFonts w:ascii="Times New Roman" w:hAnsi="Times New Roman" w:cs="Times New Roman"/>
          <w:b/>
          <w:bCs/>
          <w:sz w:val="24"/>
          <w:szCs w:val="24"/>
        </w:rPr>
        <w:t>Kandidati/kinje koji ispunjavaju formalne uvjete iz natječaja bit će o tome obaviješteni elektroničkom poštom na e-mail adresu koju su naveli u prijavi na natječaj. Ne postoji mogućnost naknadnog pisanog testiranja, bez obzira na razloge koje pojedinog kandidata/tkinju priječe da testiranju pristupi u naznačeno vrijeme.</w:t>
      </w:r>
    </w:p>
    <w:p w14:paraId="0700211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Za kandidate prijavljene na natječaj koji su podnijeli pravodobnu i potpunu prijavu te ispunjavaju formalne uvjete natječaja provesti će se prethodna provjera znanja i sposobnosti koja obuhvaća:</w:t>
      </w:r>
    </w:p>
    <w:p w14:paraId="0F11CCE0">
      <w:pPr>
        <w:pStyle w:val="11"/>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pisana provjera znanja (poznavanje propisa vezanih za rad lokalne samouprave, Statut Općine Bebrina, komunalno gospodarstvo, zaštita životinja, poznavanje</w:t>
      </w:r>
      <w:r>
        <w:rPr>
          <w:rFonts w:hint="default" w:ascii="Times New Roman" w:hAnsi="Times New Roman" w:cs="Times New Roman"/>
          <w:bCs/>
          <w:sz w:val="24"/>
          <w:szCs w:val="24"/>
          <w:lang w:val="hr-HR"/>
        </w:rPr>
        <w:t xml:space="preserve"> sustava</w:t>
      </w:r>
      <w:r>
        <w:rPr>
          <w:rFonts w:ascii="Times New Roman" w:hAnsi="Times New Roman" w:cs="Times New Roman"/>
          <w:bCs/>
          <w:sz w:val="24"/>
          <w:szCs w:val="24"/>
        </w:rPr>
        <w:t xml:space="preserve"> rada na računalu)</w:t>
      </w:r>
    </w:p>
    <w:p w14:paraId="07DCC386">
      <w:pPr>
        <w:pStyle w:val="11"/>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razgovor (intervju) povjerenstva s kandidatom </w:t>
      </w:r>
    </w:p>
    <w:p w14:paraId="13420A77">
      <w:pPr>
        <w:jc w:val="both"/>
        <w:rPr>
          <w:rFonts w:ascii="Times New Roman" w:hAnsi="Times New Roman" w:cs="Times New Roman"/>
          <w:bCs/>
          <w:sz w:val="24"/>
          <w:szCs w:val="24"/>
        </w:rPr>
      </w:pPr>
      <w:r>
        <w:rPr>
          <w:rFonts w:ascii="Times New Roman" w:hAnsi="Times New Roman" w:cs="Times New Roman"/>
          <w:bCs/>
          <w:sz w:val="24"/>
          <w:szCs w:val="24"/>
        </w:rPr>
        <w:t>Pravni i drugi izvori za pripremu kandidata za pisanu provjeru:</w:t>
      </w:r>
    </w:p>
    <w:p w14:paraId="6798284E">
      <w:pPr>
        <w:pStyle w:val="11"/>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Zakon o lokalnoj i područnoj (regionalnoj) samoupravi („Narodne novine“ broj 33/01, 60/01, 129/05, 109/07, 125/08, 36/09, 36/09, 150/11, 144/12, 19/13, 137/15, 123/17, 98/19 i 144/20)</w:t>
      </w:r>
    </w:p>
    <w:p w14:paraId="534F3790">
      <w:pPr>
        <w:pStyle w:val="11"/>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Zakon o službenicima i namještenicima u lokalnoj i područnoj (regionaloj) samoupravi („Narodne novine“ broj 86/08, 61/11, 04/18</w:t>
      </w:r>
      <w:r>
        <w:rPr>
          <w:rFonts w:hint="default" w:ascii="Times New Roman" w:hAnsi="Times New Roman" w:cs="Times New Roman"/>
          <w:bCs/>
          <w:sz w:val="24"/>
          <w:szCs w:val="24"/>
          <w:lang w:val="hr-HR"/>
        </w:rPr>
        <w:t xml:space="preserve">, </w:t>
      </w:r>
      <w:r>
        <w:rPr>
          <w:rFonts w:ascii="Times New Roman" w:hAnsi="Times New Roman" w:cs="Times New Roman"/>
          <w:bCs/>
          <w:sz w:val="24"/>
          <w:szCs w:val="24"/>
        </w:rPr>
        <w:t>112/19</w:t>
      </w:r>
      <w:r>
        <w:rPr>
          <w:rFonts w:hint="default" w:ascii="Times New Roman" w:hAnsi="Times New Roman" w:cs="Times New Roman"/>
          <w:bCs/>
          <w:sz w:val="24"/>
          <w:szCs w:val="24"/>
          <w:lang w:val="hr-HR"/>
        </w:rPr>
        <w:t xml:space="preserve"> i 17/25</w:t>
      </w:r>
      <w:r>
        <w:rPr>
          <w:rFonts w:ascii="Times New Roman" w:hAnsi="Times New Roman" w:cs="Times New Roman"/>
          <w:bCs/>
          <w:sz w:val="24"/>
          <w:szCs w:val="24"/>
        </w:rPr>
        <w:t>)</w:t>
      </w:r>
    </w:p>
    <w:p w14:paraId="5E999024">
      <w:pPr>
        <w:pStyle w:val="11"/>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Statut Općine Bebrina („Službeni vjesnik Brodsko-posavske županije“ broj 2/2018, 18/2019 i 24/2019 i „Glasnik Općine Bebrina“ broj 1/2019, 2/2020 i 4/2021)</w:t>
      </w:r>
    </w:p>
    <w:p w14:paraId="2BCE21FF">
      <w:pPr>
        <w:pStyle w:val="11"/>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Zakon o komunalnom gospodarstvu („Narodne novine“ broj 68/18, 110/18 i 32/20)</w:t>
      </w:r>
    </w:p>
    <w:p w14:paraId="42D2FDF3">
      <w:pPr>
        <w:pStyle w:val="11"/>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Zakon o zaštiti životinja („Narodne novine“ broj 102/17, 32/19 i 78/24)</w:t>
      </w:r>
    </w:p>
    <w:p w14:paraId="41C313A9">
      <w:pPr>
        <w:pStyle w:val="11"/>
        <w:numPr>
          <w:ilvl w:val="0"/>
          <w:numId w:val="2"/>
        </w:numPr>
        <w:jc w:val="both"/>
        <w:rPr>
          <w:rFonts w:ascii="Times New Roman" w:hAnsi="Times New Roman" w:cs="Times New Roman"/>
          <w:bCs/>
          <w:sz w:val="24"/>
          <w:szCs w:val="24"/>
        </w:rPr>
      </w:pPr>
      <w:r>
        <w:rPr>
          <w:rFonts w:hint="default" w:ascii="Times New Roman" w:hAnsi="Times New Roman" w:cs="Times New Roman"/>
          <w:bCs/>
          <w:sz w:val="24"/>
          <w:szCs w:val="24"/>
          <w:lang w:val="hr-HR"/>
        </w:rPr>
        <w:t>Poznavanje sustava rada</w:t>
      </w:r>
      <w:r>
        <w:rPr>
          <w:rFonts w:ascii="Times New Roman" w:hAnsi="Times New Roman" w:cs="Times New Roman"/>
          <w:bCs/>
          <w:sz w:val="24"/>
          <w:szCs w:val="24"/>
        </w:rPr>
        <w:t xml:space="preserve"> na računalu – (Windows Office, email, internet)</w:t>
      </w:r>
    </w:p>
    <w:p w14:paraId="0F85BCCA">
      <w:pPr>
        <w:pStyle w:val="12"/>
        <w:jc w:val="both"/>
        <w:rPr>
          <w:sz w:val="23"/>
          <w:szCs w:val="23"/>
        </w:rPr>
      </w:pPr>
      <w:r>
        <w:rPr>
          <w:rFonts w:ascii="Times New Roman" w:hAnsi="Times New Roman" w:cs="Times New Roman"/>
          <w:bCs/>
          <w:sz w:val="24"/>
          <w:szCs w:val="24"/>
        </w:rPr>
        <w:t xml:space="preserve">Razgovor (intervju) bit će proveden samo s kandidatima koji su ostvarili najmanje 50% bodova iz svakog dijela pisane provjere znanja. </w:t>
      </w:r>
      <w:r>
        <w:rPr>
          <w:sz w:val="24"/>
          <w:szCs w:val="24"/>
        </w:rPr>
        <w:t>Na usmenom dijelu Povjerenstvo će s kandidatima kroz razgovor utvrditi interese,</w:t>
      </w:r>
      <w:r>
        <w:rPr>
          <w:rFonts w:hint="default"/>
          <w:sz w:val="24"/>
          <w:szCs w:val="24"/>
          <w:lang w:val="hr-HR"/>
        </w:rPr>
        <w:t xml:space="preserve"> </w:t>
      </w:r>
      <w:bookmarkStart w:id="0" w:name="_GoBack"/>
      <w:bookmarkEnd w:id="0"/>
      <w:r>
        <w:rPr>
          <w:sz w:val="24"/>
          <w:szCs w:val="24"/>
        </w:rPr>
        <w:t>profesionalne ciljeve, komunikativnost, motivaciju za rad te razgovarati o dosadašnjim iskustvima na istim općim poslovima.</w:t>
      </w:r>
    </w:p>
    <w:p w14:paraId="633151AB">
      <w:pPr>
        <w:jc w:val="both"/>
        <w:rPr>
          <w:rFonts w:ascii="Times New Roman" w:hAnsi="Times New Roman" w:cs="Times New Roman"/>
          <w:bCs/>
          <w:sz w:val="24"/>
          <w:szCs w:val="24"/>
        </w:rPr>
      </w:pPr>
      <w:r>
        <w:rPr>
          <w:rFonts w:ascii="Times New Roman" w:hAnsi="Times New Roman" w:cs="Times New Roman"/>
          <w:bCs/>
          <w:sz w:val="24"/>
          <w:szCs w:val="24"/>
        </w:rPr>
        <w:t xml:space="preserve">Postupak testiranja i intervjua provest će Povjerenstvo za provedbu prijema službenika/ce u službu u Jedinstveni upravni odjel Općine Bebrina. Poziv za pisano testiranje bit će objavljen najmanje 5 dana prije testiranja na web stranici www.bebrina.hr i oglasnoj ploči Općine Bebrina. Po dolasku na prethodnu provjeru znanja, kandidati su obvezni dati na uvid odgovarajući identifikacijski dokument (osobnu iskaznicu, putovnicu). Kandidati koji ne mogu dokazati svoj identitet, osobe koje ne ispunjavaju formalne uvjete natječaja, kao i osobe koje nisu podnijele prijavu na javni natječaj za radno mjesto za koje se provodi prethodna provjera znanja, ne mogu pristupiti provjeri. </w:t>
      </w:r>
    </w:p>
    <w:p w14:paraId="095B56BE">
      <w:pPr>
        <w:jc w:val="both"/>
        <w:rPr>
          <w:rFonts w:ascii="Times New Roman" w:hAnsi="Times New Roman" w:cs="Times New Roman"/>
          <w:bCs/>
          <w:sz w:val="24"/>
          <w:szCs w:val="24"/>
        </w:rPr>
      </w:pPr>
      <w:r>
        <w:rPr>
          <w:rFonts w:ascii="Times New Roman" w:hAnsi="Times New Roman" w:cs="Times New Roman"/>
          <w:bCs/>
          <w:sz w:val="24"/>
          <w:szCs w:val="24"/>
        </w:rPr>
        <w:t>Smatra se da je kandidat koji je ispunio formalne uvjete, a koji nije pristupio prethodnoj provjeri znanja, povukao prijavu na javni natječaj.</w:t>
      </w:r>
    </w:p>
    <w:p w14:paraId="0991C27E">
      <w:pPr>
        <w:jc w:val="both"/>
        <w:rPr>
          <w:rFonts w:ascii="Times New Roman" w:hAnsi="Times New Roman" w:cs="Times New Roman"/>
          <w:bCs/>
          <w:sz w:val="24"/>
          <w:szCs w:val="24"/>
        </w:rPr>
      </w:pPr>
      <w:r>
        <w:rPr>
          <w:rFonts w:ascii="Times New Roman" w:hAnsi="Times New Roman" w:cs="Times New Roman"/>
          <w:bCs/>
          <w:sz w:val="24"/>
          <w:szCs w:val="24"/>
        </w:rPr>
        <w:t>Za vrijeme testiranja kandidatima nije dopušteno:</w:t>
      </w:r>
    </w:p>
    <w:p w14:paraId="37DF0296">
      <w:pPr>
        <w:pStyle w:val="11"/>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koristiti se bilo kakvom literaturom odnosno bilješkama</w:t>
      </w:r>
    </w:p>
    <w:p w14:paraId="017311C8">
      <w:pPr>
        <w:pStyle w:val="11"/>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koristiti mobitel ili druga komunikacijska sredstva</w:t>
      </w:r>
    </w:p>
    <w:p w14:paraId="367DDE9A">
      <w:pPr>
        <w:pStyle w:val="11"/>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napuštati prostoriju u kojoj se provodi provjera</w:t>
      </w:r>
    </w:p>
    <w:p w14:paraId="15D19596">
      <w:pPr>
        <w:pStyle w:val="11"/>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razgovarati s ostalim kandidatima ili na drugi način remetiti mir i red.</w:t>
      </w:r>
    </w:p>
    <w:p w14:paraId="39C5B448">
      <w:pPr>
        <w:jc w:val="both"/>
        <w:rPr>
          <w:rFonts w:ascii="Times New Roman" w:hAnsi="Times New Roman" w:cs="Times New Roman"/>
          <w:bCs/>
          <w:sz w:val="24"/>
          <w:szCs w:val="24"/>
        </w:rPr>
      </w:pPr>
      <w:r>
        <w:rPr>
          <w:rFonts w:ascii="Times New Roman" w:hAnsi="Times New Roman" w:cs="Times New Roman"/>
          <w:bCs/>
          <w:sz w:val="24"/>
          <w:szCs w:val="24"/>
        </w:rPr>
        <w:t>Ako se kandidat ponaša neprimjereno i/ili prekrši neko od prethodno opisanih pravila, biti će udaljen sa testiranja, a njegov rezultat i rad Povjerenstvo za provedbu prijma službenika u službu  neće bodovati.</w:t>
      </w:r>
    </w:p>
    <w:p w14:paraId="70A1F4A9">
      <w:pPr>
        <w:jc w:val="both"/>
        <w:rPr>
          <w:rFonts w:ascii="Times New Roman" w:hAnsi="Times New Roman" w:cs="Times New Roman"/>
          <w:bCs/>
          <w:sz w:val="24"/>
          <w:szCs w:val="24"/>
        </w:rPr>
      </w:pPr>
      <w:r>
        <w:rPr>
          <w:rFonts w:ascii="Times New Roman" w:hAnsi="Times New Roman" w:cs="Times New Roman"/>
          <w:bCs/>
          <w:sz w:val="24"/>
          <w:szCs w:val="24"/>
        </w:rPr>
        <w:t>Pisani dio testiranja čini provjera poznavanja zakonskih propisa i informatike.</w:t>
      </w:r>
    </w:p>
    <w:p w14:paraId="1033F4AE">
      <w:pPr>
        <w:jc w:val="both"/>
        <w:rPr>
          <w:rFonts w:ascii="Times New Roman" w:hAnsi="Times New Roman" w:cs="Times New Roman"/>
          <w:bCs/>
          <w:sz w:val="24"/>
          <w:szCs w:val="24"/>
        </w:rPr>
      </w:pPr>
      <w:r>
        <w:rPr>
          <w:rFonts w:ascii="Times New Roman" w:hAnsi="Times New Roman" w:cs="Times New Roman"/>
          <w:bCs/>
          <w:sz w:val="24"/>
          <w:szCs w:val="24"/>
        </w:rPr>
        <w:t>Smatra se da je kandidat položio test ako je ostvario najmanje 50% bodova iz svakog dijela pisane provjere znanja.</w:t>
      </w:r>
    </w:p>
    <w:p w14:paraId="343E5F4C">
      <w:pPr>
        <w:jc w:val="both"/>
        <w:rPr>
          <w:rFonts w:ascii="Times New Roman" w:hAnsi="Times New Roman" w:cs="Times New Roman"/>
          <w:bCs/>
          <w:sz w:val="24"/>
          <w:szCs w:val="24"/>
        </w:rPr>
      </w:pPr>
      <w:r>
        <w:rPr>
          <w:rFonts w:ascii="Times New Roman" w:hAnsi="Times New Roman" w:cs="Times New Roman"/>
          <w:bCs/>
          <w:sz w:val="24"/>
          <w:szCs w:val="24"/>
        </w:rPr>
        <w:t>Za svaki dio provjere kandidatima se dodjeljuje određeni broj bodova od 1 do 10.</w:t>
      </w:r>
    </w:p>
    <w:p w14:paraId="7F1B61AD">
      <w:pPr>
        <w:jc w:val="both"/>
        <w:rPr>
          <w:rFonts w:ascii="Times New Roman" w:hAnsi="Times New Roman" w:cs="Times New Roman"/>
          <w:b/>
          <w:sz w:val="24"/>
          <w:szCs w:val="24"/>
        </w:rPr>
      </w:pPr>
      <w:r>
        <w:rPr>
          <w:rFonts w:ascii="Times New Roman" w:hAnsi="Times New Roman" w:cs="Times New Roman"/>
          <w:bCs/>
          <w:sz w:val="24"/>
          <w:szCs w:val="24"/>
        </w:rPr>
        <w:t>Kandidati koji polože pisani dio testiranja biti će odmah po utvrđivanju liste kandidata koji su zadovoljili na pisanom testu upućeni na razgovor s Povjerenstvom koje prilikom razgovora (intervjua) utvrđuje interese, profesionalne ciljeve i sposobnosti i motivaciju kandidata za rad na navedenom radnom mjestu. Maksimalan broj bodova koji kandidati mogu ostvariti na intervjuu je 10 bodova. Nakon provedenog postupka pisanog dijela testiranja, te razgovora (intervjua), Povjerenstvo za provedbu prijma službenika/ce u službu u Jedinstveni upravni odjel Općine Bebrina utvrđuje rang-listu kandidata prema ukupnom broju bodova ostvarenom na testiranju i razgovoru (intervju) te ju dostavlja Pročelnici Jedinstvenog upravnog odjela Općine Bebrina uz Izvješće o provedenom postupku koje potpisuju svi članovi Povjerenstva.</w:t>
      </w:r>
    </w:p>
    <w:p w14:paraId="3D44566B">
      <w:pPr>
        <w:jc w:val="both"/>
        <w:rPr>
          <w:rFonts w:ascii="Times New Roman" w:hAnsi="Times New Roman" w:cs="Times New Roman"/>
          <w:bCs/>
          <w:sz w:val="24"/>
          <w:szCs w:val="24"/>
        </w:rPr>
      </w:pPr>
      <w:r>
        <w:rPr>
          <w:rFonts w:ascii="Times New Roman" w:hAnsi="Times New Roman" w:cs="Times New Roman"/>
          <w:bCs/>
          <w:sz w:val="24"/>
          <w:szCs w:val="24"/>
        </w:rPr>
        <w:t>Nakon provedenog natječaja ne mora se izvršiti izbor, ali se u tom slučaju donosi Odluka o poništenju  natječaja u roku od 60 dana od isteka roka za podnošenje prijava. Protiv odluke o poništenju nije dopušteno podnošenje pravnih lijekova. Odluka o poništenju dostavlja se svim kandidatima prijavljenim na natječaj.</w:t>
      </w:r>
    </w:p>
    <w:p w14:paraId="2CCDA1ED">
      <w:pPr>
        <w:rPr>
          <w:rFonts w:ascii="Times New Roman" w:hAnsi="Times New Roman" w:cs="Times New Roman"/>
          <w:b/>
          <w:sz w:val="24"/>
          <w:szCs w:val="24"/>
        </w:rPr>
      </w:pPr>
    </w:p>
    <w:p w14:paraId="46E5F74C">
      <w:pPr>
        <w:ind w:left="4248"/>
        <w:jc w:val="center"/>
        <w:rPr>
          <w:rFonts w:ascii="Times New Roman" w:hAnsi="Times New Roman" w:cs="Times New Roman"/>
          <w:bCs/>
          <w:sz w:val="24"/>
          <w:szCs w:val="24"/>
        </w:rPr>
      </w:pPr>
      <w:r>
        <w:rPr>
          <w:rFonts w:ascii="Times New Roman" w:hAnsi="Times New Roman" w:cs="Times New Roman"/>
          <w:bCs/>
          <w:sz w:val="24"/>
          <w:szCs w:val="24"/>
        </w:rPr>
        <w:t>POVJERENSTVO ZA PROVEDBU PRIJEMA SLUŽBENIKA/CE U SLUŽBU U JEDINSTVENI UPRAVNI ODJEL</w:t>
      </w:r>
    </w:p>
    <w:p w14:paraId="7F4D02DC">
      <w:pPr>
        <w:rPr>
          <w:rFonts w:ascii="Times New Roman" w:hAnsi="Times New Roman" w:cs="Times New Roman"/>
          <w:b/>
          <w:sz w:val="24"/>
          <w:szCs w:val="24"/>
        </w:rPr>
      </w:pPr>
    </w:p>
    <w:p w14:paraId="4873B379">
      <w:pPr>
        <w:rPr>
          <w:rFonts w:ascii="Times New Roman" w:hAnsi="Times New Roman" w:cs="Times New Roman"/>
          <w:b/>
          <w:sz w:val="24"/>
          <w:szCs w:val="24"/>
        </w:rPr>
      </w:pPr>
    </w:p>
    <w:p w14:paraId="19B9050C">
      <w:pPr>
        <w:rPr>
          <w:rFonts w:ascii="Times New Roman" w:hAnsi="Times New Roman" w:cs="Times New Roman"/>
          <w:b/>
          <w:sz w:val="24"/>
          <w:szCs w:val="24"/>
        </w:rPr>
      </w:pPr>
    </w:p>
    <w:p w14:paraId="6A0359E6">
      <w:pPr>
        <w:rPr>
          <w:rFonts w:ascii="Times New Roman" w:hAnsi="Times New Roman" w:cs="Times New Roman"/>
          <w:b/>
          <w:sz w:val="24"/>
          <w:szCs w:val="24"/>
        </w:rPr>
      </w:pPr>
    </w:p>
    <w:p w14:paraId="1D9CC3C5">
      <w:pPr>
        <w:rPr>
          <w:rFonts w:ascii="Times New Roman" w:hAnsi="Times New Roman" w:cs="Times New Roman"/>
          <w:b/>
          <w:sz w:val="24"/>
          <w:szCs w:val="24"/>
        </w:rPr>
      </w:pPr>
    </w:p>
    <w:p w14:paraId="220F0FAB">
      <w:pPr>
        <w:rPr>
          <w:rFonts w:ascii="Times New Roman" w:hAnsi="Times New Roman" w:cs="Times New Roman"/>
          <w:b/>
          <w:sz w:val="24"/>
          <w:szCs w:val="24"/>
        </w:rPr>
      </w:pPr>
    </w:p>
    <w:p w14:paraId="36D8E851">
      <w:pPr>
        <w:rPr>
          <w:rFonts w:ascii="Times New Roman" w:hAnsi="Times New Roman" w:cs="Times New Roman"/>
          <w:b/>
          <w:sz w:val="24"/>
          <w:szCs w:val="24"/>
        </w:rPr>
      </w:pPr>
    </w:p>
    <w:sectPr>
      <w:pgSz w:w="11906" w:h="16838"/>
      <w:pgMar w:top="1417" w:right="1417" w:bottom="1417" w:left="1417" w:header="1276"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F85739"/>
    <w:multiLevelType w:val="multilevel"/>
    <w:tmpl w:val="34F85739"/>
    <w:lvl w:ilvl="0" w:tentative="0">
      <w:start w:val="5"/>
      <w:numFmt w:val="bullet"/>
      <w:lvlText w:val="-"/>
      <w:lvlJc w:val="left"/>
      <w:pPr>
        <w:ind w:left="360" w:hanging="360"/>
      </w:pPr>
      <w:rPr>
        <w:rFonts w:hint="default" w:ascii="Times New Roman" w:hAnsi="Times New Roman" w:eastAsia="Times New Roman" w:cs="Times New Roman"/>
        <w:b/>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50767953"/>
    <w:multiLevelType w:val="multilevel"/>
    <w:tmpl w:val="50767953"/>
    <w:lvl w:ilvl="0" w:tentative="0">
      <w:start w:val="1"/>
      <w:numFmt w:val="decimal"/>
      <w:lvlText w:val="%1."/>
      <w:lvlJc w:val="left"/>
      <w:pPr>
        <w:ind w:left="360" w:hanging="360"/>
      </w:pPr>
      <w:rPr>
        <w:rFonts w:hint="default"/>
        <w:b w:val="0"/>
        <w:color w:val="3A3A3A"/>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79D523F1"/>
    <w:multiLevelType w:val="multilevel"/>
    <w:tmpl w:val="79D523F1"/>
    <w:lvl w:ilvl="0" w:tentative="0">
      <w:start w:val="5"/>
      <w:numFmt w:val="bullet"/>
      <w:lvlText w:val="-"/>
      <w:lvlJc w:val="left"/>
      <w:pPr>
        <w:ind w:left="360" w:hanging="360"/>
      </w:pPr>
      <w:rPr>
        <w:rFonts w:hint="default" w:ascii="Times New Roman" w:hAnsi="Times New Roman" w:eastAsia="Times New Roman" w:cs="Times New Roman"/>
        <w:b/>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1F8"/>
    <w:rsid w:val="0001162B"/>
    <w:rsid w:val="000759E3"/>
    <w:rsid w:val="000A59C5"/>
    <w:rsid w:val="000E3DC4"/>
    <w:rsid w:val="001022D1"/>
    <w:rsid w:val="00116744"/>
    <w:rsid w:val="00154C32"/>
    <w:rsid w:val="001A4F6D"/>
    <w:rsid w:val="001B10EC"/>
    <w:rsid w:val="001B4370"/>
    <w:rsid w:val="001E5F64"/>
    <w:rsid w:val="001F36E8"/>
    <w:rsid w:val="00212B01"/>
    <w:rsid w:val="002450BA"/>
    <w:rsid w:val="00246B71"/>
    <w:rsid w:val="00256C03"/>
    <w:rsid w:val="0025726C"/>
    <w:rsid w:val="0027476C"/>
    <w:rsid w:val="00292968"/>
    <w:rsid w:val="002D3BC6"/>
    <w:rsid w:val="003136F0"/>
    <w:rsid w:val="00330FA0"/>
    <w:rsid w:val="00357A9C"/>
    <w:rsid w:val="003B39CE"/>
    <w:rsid w:val="003E057F"/>
    <w:rsid w:val="004039D1"/>
    <w:rsid w:val="004321FA"/>
    <w:rsid w:val="00434B58"/>
    <w:rsid w:val="00467ABF"/>
    <w:rsid w:val="00544AE0"/>
    <w:rsid w:val="005667E2"/>
    <w:rsid w:val="005C2934"/>
    <w:rsid w:val="005C2ABC"/>
    <w:rsid w:val="005C6562"/>
    <w:rsid w:val="00627ECD"/>
    <w:rsid w:val="006554C1"/>
    <w:rsid w:val="00665E62"/>
    <w:rsid w:val="00680125"/>
    <w:rsid w:val="006852B2"/>
    <w:rsid w:val="006B0EF2"/>
    <w:rsid w:val="007928BD"/>
    <w:rsid w:val="007A16E1"/>
    <w:rsid w:val="007F4C6A"/>
    <w:rsid w:val="0082314E"/>
    <w:rsid w:val="008556E7"/>
    <w:rsid w:val="00867782"/>
    <w:rsid w:val="008D44E6"/>
    <w:rsid w:val="008E3BFC"/>
    <w:rsid w:val="00906586"/>
    <w:rsid w:val="00916A54"/>
    <w:rsid w:val="00962EEB"/>
    <w:rsid w:val="009856B2"/>
    <w:rsid w:val="009947C6"/>
    <w:rsid w:val="009A314B"/>
    <w:rsid w:val="00A116D8"/>
    <w:rsid w:val="00A236F9"/>
    <w:rsid w:val="00A514B4"/>
    <w:rsid w:val="00A74F54"/>
    <w:rsid w:val="00A95FE3"/>
    <w:rsid w:val="00AC2EB9"/>
    <w:rsid w:val="00B06B9D"/>
    <w:rsid w:val="00B3521C"/>
    <w:rsid w:val="00BE3315"/>
    <w:rsid w:val="00C40326"/>
    <w:rsid w:val="00C41557"/>
    <w:rsid w:val="00C60090"/>
    <w:rsid w:val="00D90187"/>
    <w:rsid w:val="00DF5802"/>
    <w:rsid w:val="00F15F29"/>
    <w:rsid w:val="00F2733F"/>
    <w:rsid w:val="00F338C6"/>
    <w:rsid w:val="00FB1BBA"/>
    <w:rsid w:val="00FD21F8"/>
    <w:rsid w:val="010959CF"/>
    <w:rsid w:val="2EA14E80"/>
    <w:rsid w:val="55765BC6"/>
    <w:rsid w:val="7155135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hr-H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qFormat/>
    <w:uiPriority w:val="99"/>
    <w:pPr>
      <w:spacing w:after="0" w:line="240" w:lineRule="auto"/>
    </w:pPr>
    <w:rPr>
      <w:rFonts w:ascii="Segoe UI" w:hAnsi="Segoe UI" w:cs="Segoe UI"/>
      <w:sz w:val="18"/>
      <w:szCs w:val="18"/>
    </w:rPr>
  </w:style>
  <w:style w:type="character" w:styleId="5">
    <w:name w:val="Emphasis"/>
    <w:basedOn w:val="2"/>
    <w:qFormat/>
    <w:uiPriority w:val="20"/>
    <w:rPr>
      <w:i/>
      <w:iCs/>
    </w:rPr>
  </w:style>
  <w:style w:type="paragraph" w:styleId="6">
    <w:name w:val="footer"/>
    <w:basedOn w:val="1"/>
    <w:link w:val="9"/>
    <w:unhideWhenUsed/>
    <w:qFormat/>
    <w:uiPriority w:val="99"/>
    <w:pPr>
      <w:tabs>
        <w:tab w:val="center" w:pos="4536"/>
        <w:tab w:val="right" w:pos="9072"/>
      </w:tabs>
      <w:spacing w:after="0" w:line="240" w:lineRule="auto"/>
    </w:pPr>
  </w:style>
  <w:style w:type="paragraph" w:styleId="7">
    <w:name w:val="header"/>
    <w:basedOn w:val="1"/>
    <w:link w:val="8"/>
    <w:unhideWhenUsed/>
    <w:qFormat/>
    <w:uiPriority w:val="99"/>
    <w:pPr>
      <w:tabs>
        <w:tab w:val="center" w:pos="4536"/>
        <w:tab w:val="right" w:pos="9072"/>
      </w:tabs>
      <w:spacing w:after="0" w:line="240" w:lineRule="auto"/>
    </w:pPr>
  </w:style>
  <w:style w:type="character" w:customStyle="1" w:styleId="8">
    <w:name w:val="Header Char"/>
    <w:basedOn w:val="2"/>
    <w:link w:val="7"/>
    <w:qFormat/>
    <w:uiPriority w:val="99"/>
  </w:style>
  <w:style w:type="character" w:customStyle="1" w:styleId="9">
    <w:name w:val="Footer Char"/>
    <w:basedOn w:val="2"/>
    <w:link w:val="6"/>
    <w:qFormat/>
    <w:uiPriority w:val="99"/>
  </w:style>
  <w:style w:type="character" w:customStyle="1" w:styleId="10">
    <w:name w:val="Balloon Text Char"/>
    <w:basedOn w:val="2"/>
    <w:link w:val="4"/>
    <w:semiHidden/>
    <w:qFormat/>
    <w:uiPriority w:val="99"/>
    <w:rPr>
      <w:rFonts w:ascii="Segoe UI" w:hAnsi="Segoe UI" w:cs="Segoe UI"/>
      <w:sz w:val="18"/>
      <w:szCs w:val="18"/>
    </w:rPr>
  </w:style>
  <w:style w:type="paragraph" w:styleId="11">
    <w:name w:val="List Paragraph"/>
    <w:basedOn w:val="1"/>
    <w:qFormat/>
    <w:uiPriority w:val="34"/>
    <w:pPr>
      <w:ind w:left="720"/>
      <w:contextualSpacing/>
    </w:pPr>
  </w:style>
  <w:style w:type="paragraph" w:customStyle="1" w:styleId="12">
    <w:name w:val="Default"/>
    <w:qFormat/>
    <w:uiPriority w:val="0"/>
    <w:pPr>
      <w:autoSpaceDE w:val="0"/>
      <w:autoSpaceDN w:val="0"/>
      <w:adjustRightInd w:val="0"/>
      <w:ind w:left="0"/>
    </w:pPr>
    <w:rPr>
      <w:rFonts w:ascii="Times New Roman" w:hAnsi="Times New Roman" w:cs="Times New Roman" w:eastAsiaTheme="minorHAnsi"/>
      <w:color w:val="000000"/>
      <w:kern w:val="0"/>
      <w:sz w:val="24"/>
      <w:szCs w:val="24"/>
      <w:lang w:val="hr-HR" w:eastAsia="en-US"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814</Words>
  <Characters>4643</Characters>
  <Lines>38</Lines>
  <Paragraphs>10</Paragraphs>
  <TotalTime>3</TotalTime>
  <ScaleCrop>false</ScaleCrop>
  <LinksUpToDate>false</LinksUpToDate>
  <CharactersWithSpaces>5447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2018-03-24T14:28:00Z</dcterms:created>
  <dc:creator>Municipal d.o.o.</dc:creator>
  <cp:lastModifiedBy>proce</cp:lastModifiedBy>
  <cp:lastPrinted>2026-02-20T11:03:00Z</cp:lastPrinted>
  <dcterms:modified xsi:type="dcterms:W3CDTF">2026-02-20T11:11:01Z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FE76A62C5B86462FAD26718755112C4E_12</vt:lpwstr>
  </property>
</Properties>
</file>