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8df19210254f0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BEBRINA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1.931.047,93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957.719,66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809.957,16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834.635,58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1.121.090,77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123.084,08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1.066.729,78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164.365,28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1.066.125,28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164.365,28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41.281,20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ostvaren je manjak prihoda poslovanja koji je nastao radi smanjenog priljeva poreznih prihoda zbog povrata poreza. Prihodi od pomoći iz državnog proračuna temeljem prijenosa EU sredstava su uplaćivani po odobrenim ZNS-ovima.  </w:t>
      </w:r>
    </w:p>
    <w:p>
      <w:r>
        <w:t xml:space="preserve">Ukupan rezultat na kraju izvještajnog razdoblja je manjak u iznosu od 41.281,20 EUR te s uključenim viškom poslovanja iz 2025. godine od 230.992,79 EUR i evidentiranom korekcijom rezultata od 246,10 EUR daje ukupan višak prihoda poslovanja u iznosu od iznosi 189.957,69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231.983,91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305.051,05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Iskazani iznos je veći u odnosu na isto izvještajno razdoblje prethodne godine. Razlika u prihodu je odraz priljeva poreznih prihoda i izvršenog povrata poreza u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Ostvaren je veći prihod u odnosu na isto izvještajno razdoblje prethodne godine, a odraz je većeg prihoda od prometa nekretninama na području Općine Bebrina i naplati poreza kojeg utvrđuje i provodi Porezna uprava.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56.983,10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488,8</w:t>
            </w:r>
          </w:p>
        </w:tc>
      </w:tr>
    </w:tbl>
    <w:p>
      <w:pPr>
        <w:spacing w:before="0" w:after="0"/>
      </w:pPr>
    </w:p>
    <w:p>
      <w:r>
        <w:t xml:space="preserve">Iskazani iznos je veći u odnosu na isto izvještajno razdoblje prethodne godine jer se provode projekti koje sufinanciraju ministarstva, a odnose se na tekuće i kapitalne pomoći.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373.862,16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385.637,40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Evidentiran je prihod od pomoći iz državnog proračuna za pomoć fiskalnog izravnanja. Iznos je veći u odnosu na isto razdoblje prethodne godine iz razloga što je raspodjelom ovog prihoda iznos koji pripada Općini Bebrina veći u odnos na 2025.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1.247.779,76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w:t>
            </w:r>
          </w:p>
        </w:tc>
      </w:tr>
    </w:tbl>
    <w:p>
      <w:pPr>
        <w:spacing w:before="0" w:after="0"/>
      </w:pPr>
    </w:p>
    <w:p>
      <w:r>
        <w:t xml:space="preserve">Iskazani iznos se odnosi na prihode od tekućih i kapitalnih pomoći temeljem prijenosa EU sredstava i manji su u odnosu na isto razdoblje prethodne godine iz razloga što u izvještajnom razdoblju 2026. godine nisu započeli radovi na projektima financiranih sredstvima EU.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Iskazani iznos je veći u odnosu na isto razdoblje prethodne godine, a povećanje prihoda se odnosi na naplatu zakupa poljoprivrednog zemljišta.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Iskazani iznos je manji u odnosu na isto razdoblje prethodne godine, a smanjenje se odnosi se na ostale nespomenute prihode.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w:t>
            </w:r>
          </w:p>
        </w:tc>
      </w:tr>
    </w:tbl>
    <w:p>
      <w:pPr>
        <w:spacing w:before="0" w:after="0"/>
      </w:pPr>
    </w:p>
    <w:p>
      <w:r>
        <w:t xml:space="preserve">Iskazani iznos se odnosi na prihod od Hrvatskih voda za naplatu Naknade za uređenje voda.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nije bilo prihoda.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152.068,10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w:t>
            </w:r>
          </w:p>
        </w:tc>
      </w:tr>
    </w:tbl>
    <w:p>
      <w:pPr>
        <w:spacing w:before="0" w:after="0"/>
      </w:pPr>
    </w:p>
    <w:p>
      <w:r>
        <w:t xml:space="preserve">Iskazani iznos se odnosi na rashode koji se isplaćuju zaposlenima, a odnose se na prigodne godišnje nagrade, prava koja proizlaze iz pravilnika te za dodatke za uspješnost na radu.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25.091,27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26.918,28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w:t>
            </w:r>
          </w:p>
        </w:tc>
      </w:tr>
    </w:tbl>
    <w:p>
      <w:pPr>
        <w:spacing w:before="0" w:after="0"/>
      </w:pPr>
    </w:p>
    <w:p>
      <w:r>
        <w:t xml:space="preserve">Iskazani iznos se odnosi na rashode za službena putovanja, stručno usavršavanje zaposlenika, naknade za prijevoz na posao i s posla. Iznos je veći u odnosu na isto razdoblje prethodne godine zbog većih troškova zaposlenih, a povećanje se odnosi na troškove službenih putovanja te naknada za prijevoz. U značajno većim troškovima evidentiranim na službenim putovanjima su troškovi provedbe projekta Rasti 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56.275,69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54.685,09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Iskazani iznos se odnosi na rashode za materijal i energiju i manji je u odnosu na isto razdoblje prethodne godine iz razloga što su manja izdvajanja za materijal za tekuće i investicijsko održavanje.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317.489,48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391.422,10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Iskazani iznos se odnosi na rashode za usluge i veći su odnosu na isto razdoblje prethodne godine radi povećanja troškova prijevoza (provedba projekta Rasti Tu), usluge promidžbe i informiranja, provedba projekta i obilježavanja značajnih događaja, troškova komunalnih usluga (sanacija otpada), te intelektualnih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nije bilo rashoda za naknade troškova osobama izvan radnog odnosa.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32.896,50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w:t>
            </w:r>
          </w:p>
        </w:tc>
      </w:tr>
    </w:tbl>
    <w:p>
      <w:pPr>
        <w:spacing w:before="0" w:after="0"/>
      </w:pPr>
    </w:p>
    <w:p>
      <w:r>
        <w:t xml:space="preserve">Iskazani iznos se odnosi na ostale nespomenute rashode poslovanja koji su manji u odnosu na isto razdoblje prethodne godine, a razlika manjih rashoda u 2026. godini se odnosi na troškove provedbe lokalnih izbora u 2025.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Iskazani iznos se odnosi na bankovne troškove redovnog financijskog poslovanja i manji su odnosu na isto izvještajno razdoblje prethodne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nije bilo prijenosa sredstava proračunskom korisniku drugih proračuna.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48.116,48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w:t>
            </w:r>
          </w:p>
        </w:tc>
      </w:tr>
    </w:tbl>
    <w:p>
      <w:pPr>
        <w:spacing w:before="0" w:after="0"/>
      </w:pPr>
    </w:p>
    <w:p>
      <w:r>
        <w:t xml:space="preserve">Iznos je manji u odnosu na isto izvještajno razdoblje prethodne godine iz razloga što se istom razdoblju prethodne godine radilo sufinanciranje pohađanja dječjih vrtića za prethodna razdoblja.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121.265,65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109.376,98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w:t>
            </w:r>
          </w:p>
        </w:tc>
      </w:tr>
    </w:tbl>
    <w:p>
      <w:pPr>
        <w:spacing w:before="0" w:after="0"/>
      </w:pPr>
    </w:p>
    <w:p>
      <w:r>
        <w:t xml:space="preserve">Iznos je manji u odnosu na isto izvještajno razdoblje prethodne godine, a rashodi se odnose na prijenose sredstava Vatrogasnoj zajednici i redovnom financiranju GD HCK i financiranju sportskih, kulturno-umjetničkih, vjerskih, lovnih, ribolovnih i dr. organizacija civilnog društva temeljem provedenog natječaja.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u izvještajnom razdoblju nije bilo ostvarenih prihoda od prodaje zemljišta po sklopljenim ugovorima.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586.056,43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72.223,18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r>
        <w:t xml:space="preserve">Iznos u izvještajnom razdoblju je značajno manji u odnosu na isto razdoblje prethodne godine radi započinjanja provedbe projekata tijekom narednog perioda tekuće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r>
        <w:t xml:space="preserve">Rashodi su značajno manji o odnosu na prethodnu godinu, a odnosili su se na nabavu opreme iz projekta Rasti Tu.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4251+4252)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Nije bilo rashoda u izvještajnom razdoblju.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458.953,71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89.468,40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w:t>
            </w:r>
          </w:p>
        </w:tc>
      </w:tr>
    </w:tbl>
    <w:p>
      <w:pPr>
        <w:spacing w:before="0" w:after="0"/>
      </w:pPr>
    </w:p>
    <w:p>
      <w:r>
        <w:t xml:space="preserve">Iznos je manji u odnosu na isto izvještajno razdoblje prethodne godine, a smanjenje se odnosi se na manja dodatna ulaganja u objekte u vlasništvu Općine Bebrina. Razlog smanjenja je završetak projekata koji su započeli u prethodnom razdoblju i financiranju su najvećim dijelom iz EU projekata.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Bebrina nema dospjelih obveza na 30.06.2025.</w:t>
      </w:r>
    </w:p>
    <w:p/>
    <w:p>
      <w:pPr>
        <w:jc w:val="center"/>
        <w:pStyle w:val="Normal"/>
        <w:spacing w:line="240" w:lineRule="auto"/>
        <w:keepNext/>
      </w:pPr>
      <w:r>
        <w:rPr>
          <w:sz w:val="28"/>
          <w:rFonts w:ascii="Times New Roman" w:hAnsi="Times New Roman"/>
        </w:rPr>
        <w:t xml:space="preserve">Bilješka 29.</w:t>
      </w:r>
    </w:p>
    <w:p>
      <w:pPr>
        <w:jc w:val="both"/>
        <w:pStyle w:val="Normal"/>
        <w:spacing w:line="240" w:lineRule="auto"/>
      </w:pPr>
      <w:r>
        <w:rPr>
          <w:b/>
          <w:sz w:val="24"/>
          <w:rFonts w:ascii="Times New Roman" w:hAnsi="Times New Roman"/>
        </w:rPr>
        <w:t xml:space="preserve">EU izvještaj</w:t>
      </w:r>
    </w:p>
    <w:p>
      <w:r>
        <w:t xml:space="preserve">Općina Bebrina u izvještajnom razdoblju imala evidentirane prihode i rashode te izvanbilančne stavke za evidentirane ugovore iz Europskog socijalnog fonda plus (561) za provedbu projekta Radim i pomažem IV iz programa Zaželi i Europskog fonda za regionalni razvoj (563), te iz Nacionalnog plana oporavka i otpornosti (581).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912ae6f0fdd4b6e" /></Relationships>
</file>